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14:paraId="03254392" w14:textId="77777777" w:rsidTr="005F7F7E">
        <w:tc>
          <w:tcPr>
            <w:tcW w:w="2438" w:type="dxa"/>
            <w:shd w:val="clear" w:color="auto" w:fill="auto"/>
          </w:tcPr>
          <w:p w14:paraId="627C6DFC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5A943795" w14:textId="71983089" w:rsidR="00F445B1" w:rsidRPr="00F95BC9" w:rsidRDefault="006C66F9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Audit and Governance Committee</w:t>
            </w:r>
          </w:p>
        </w:tc>
      </w:tr>
      <w:tr w:rsidR="00CE544A" w:rsidRPr="00975B07" w14:paraId="6524176D" w14:textId="77777777" w:rsidTr="005F7F7E">
        <w:tc>
          <w:tcPr>
            <w:tcW w:w="2438" w:type="dxa"/>
            <w:shd w:val="clear" w:color="auto" w:fill="auto"/>
          </w:tcPr>
          <w:p w14:paraId="479DF5DB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14:paraId="11EDA6C9" w14:textId="66897847" w:rsidR="00F445B1" w:rsidRPr="001356F1" w:rsidRDefault="001B7718" w:rsidP="007B5CA2">
            <w:pPr>
              <w:rPr>
                <w:b/>
              </w:rPr>
            </w:pPr>
            <w:r>
              <w:rPr>
                <w:rStyle w:val="Firstpagetablebold"/>
              </w:rPr>
              <w:t>08 April</w:t>
            </w:r>
            <w:r w:rsidR="00834D91">
              <w:rPr>
                <w:rStyle w:val="Firstpagetablebold"/>
              </w:rPr>
              <w:t xml:space="preserve"> 2024</w:t>
            </w:r>
          </w:p>
        </w:tc>
      </w:tr>
      <w:tr w:rsidR="00CE544A" w:rsidRPr="00975B07" w14:paraId="36E02D8C" w14:textId="77777777" w:rsidTr="005F7F7E">
        <w:tc>
          <w:tcPr>
            <w:tcW w:w="2438" w:type="dxa"/>
            <w:shd w:val="clear" w:color="auto" w:fill="auto"/>
          </w:tcPr>
          <w:p w14:paraId="34A3A975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05A8C6D3" w14:textId="69606BB7" w:rsidR="00F445B1" w:rsidRPr="001356F1" w:rsidRDefault="00FD1DFA" w:rsidP="004A6D2F">
            <w:pPr>
              <w:rPr>
                <w:rStyle w:val="Firstpagetablebold"/>
              </w:rPr>
            </w:pPr>
            <w:r w:rsidRPr="001356F1">
              <w:rPr>
                <w:rStyle w:val="Firstpagetablebold"/>
              </w:rPr>
              <w:t xml:space="preserve">Executive Director </w:t>
            </w:r>
            <w:r w:rsidR="001C1558">
              <w:rPr>
                <w:rStyle w:val="Firstpagetablebold"/>
              </w:rPr>
              <w:t xml:space="preserve">for </w:t>
            </w:r>
            <w:r w:rsidR="001B7718">
              <w:rPr>
                <w:rStyle w:val="Firstpagetablebold"/>
              </w:rPr>
              <w:t>Corporate Resources</w:t>
            </w:r>
          </w:p>
        </w:tc>
      </w:tr>
      <w:tr w:rsidR="00CE544A" w:rsidRPr="00975B07" w14:paraId="4FED91F5" w14:textId="77777777" w:rsidTr="005F7F7E">
        <w:tc>
          <w:tcPr>
            <w:tcW w:w="2438" w:type="dxa"/>
            <w:shd w:val="clear" w:color="auto" w:fill="auto"/>
          </w:tcPr>
          <w:p w14:paraId="514023BB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24A7AEE7" w14:textId="0021779F" w:rsidR="00F445B1" w:rsidRPr="001356F1" w:rsidRDefault="001B7718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Workforce Sustainability</w:t>
            </w:r>
            <w:r w:rsidR="00793A37">
              <w:rPr>
                <w:rStyle w:val="Firstpagetablebold"/>
              </w:rPr>
              <w:t xml:space="preserve"> Progress </w:t>
            </w:r>
            <w:r w:rsidR="008963F0">
              <w:rPr>
                <w:rStyle w:val="Firstpagetablebold"/>
              </w:rPr>
              <w:t>R</w:t>
            </w:r>
            <w:r w:rsidR="00793A37">
              <w:rPr>
                <w:rStyle w:val="Firstpagetablebold"/>
              </w:rPr>
              <w:t>eport</w:t>
            </w:r>
          </w:p>
        </w:tc>
      </w:tr>
    </w:tbl>
    <w:p w14:paraId="68054D20" w14:textId="77777777"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38"/>
        <w:gridCol w:w="6407"/>
      </w:tblGrid>
      <w:tr w:rsidR="00D5547E" w14:paraId="1CDEF52A" w14:textId="77777777" w:rsidTr="0080749A">
        <w:tc>
          <w:tcPr>
            <w:tcW w:w="8845" w:type="dxa"/>
            <w:gridSpan w:val="2"/>
            <w:tcBorders>
              <w:bottom w:val="single" w:sz="8" w:space="0" w:color="000000"/>
            </w:tcBorders>
            <w:hideMark/>
          </w:tcPr>
          <w:p w14:paraId="2E6CBEC2" w14:textId="77777777"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14:paraId="15EE26E4" w14:textId="77777777" w:rsidTr="0080749A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30701A2F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57A95351" w14:textId="05F1CBE4" w:rsidR="00D5547E" w:rsidRPr="001356F1" w:rsidRDefault="00F35406" w:rsidP="00DB7AD7">
            <w:r>
              <w:t xml:space="preserve">To provide a comprehensive </w:t>
            </w:r>
            <w:r w:rsidR="00F02D3B">
              <w:t xml:space="preserve">update on the </w:t>
            </w:r>
            <w:r w:rsidR="008963F0">
              <w:t>actions in place to</w:t>
            </w:r>
            <w:r w:rsidR="00224646">
              <w:t xml:space="preserve"> improve the sustainability of the workforce</w:t>
            </w:r>
          </w:p>
        </w:tc>
      </w:tr>
      <w:tr w:rsidR="00D5547E" w14:paraId="57A40806" w14:textId="77777777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6C56B1D9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4F1B470" w14:textId="228C5C5F" w:rsidR="00D5547E" w:rsidRPr="001356F1" w:rsidRDefault="00DB32FF" w:rsidP="005F7F7E">
            <w:r>
              <w:t>No</w:t>
            </w:r>
            <w:r w:rsidRPr="001356F1">
              <w:t xml:space="preserve"> </w:t>
            </w:r>
          </w:p>
        </w:tc>
      </w:tr>
      <w:tr w:rsidR="00D5547E" w14:paraId="28B6184B" w14:textId="77777777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4AD4B821" w14:textId="77777777" w:rsidR="00D5547E" w:rsidRDefault="00D860E2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Cabinet</w:t>
            </w:r>
            <w:r w:rsidR="00D5547E">
              <w:rPr>
                <w:rStyle w:val="Firstpagetablebold"/>
              </w:rPr>
              <w:t xml:space="preserve">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DA89DAF" w14:textId="1439DCE3" w:rsidR="00D5547E" w:rsidRPr="001356F1" w:rsidRDefault="00D5547E" w:rsidP="005F7F7E">
            <w:r w:rsidRPr="001356F1">
              <w:t xml:space="preserve">Councillor </w:t>
            </w:r>
            <w:r w:rsidR="00224646">
              <w:t>Nigel Chapman</w:t>
            </w:r>
            <w:r w:rsidRPr="001356F1">
              <w:t xml:space="preserve">, </w:t>
            </w:r>
            <w:r w:rsidR="006C6D1A">
              <w:t>Citizen Focused Services and Council Companies</w:t>
            </w:r>
          </w:p>
        </w:tc>
      </w:tr>
      <w:tr w:rsidR="0080749A" w14:paraId="15E75EAC" w14:textId="77777777" w:rsidTr="0097170F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CCEC74A" w14:textId="77777777"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3C05E1D" w14:textId="7CCE0D63" w:rsidR="0080749A" w:rsidRPr="001356F1" w:rsidRDefault="00224646" w:rsidP="005F7F7E">
            <w:r>
              <w:t xml:space="preserve">Well </w:t>
            </w:r>
            <w:r w:rsidR="00980CB5">
              <w:t>R</w:t>
            </w:r>
            <w:r>
              <w:t xml:space="preserve">un </w:t>
            </w:r>
            <w:r w:rsidR="00980CB5">
              <w:t>C</w:t>
            </w:r>
            <w:r>
              <w:t>ouncil</w:t>
            </w:r>
          </w:p>
        </w:tc>
      </w:tr>
      <w:tr w:rsidR="00D5547E" w14:paraId="6CE74681" w14:textId="77777777" w:rsidTr="0097170F">
        <w:tc>
          <w:tcPr>
            <w:tcW w:w="243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6827A1AE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53728F10" w14:textId="0D0A3FD7" w:rsidR="00D5547E" w:rsidRPr="001356F1" w:rsidRDefault="005F3900" w:rsidP="005F7F7E">
            <w:r>
              <w:t>None</w:t>
            </w:r>
          </w:p>
        </w:tc>
      </w:tr>
    </w:tbl>
    <w:p w14:paraId="7F88C011" w14:textId="77777777" w:rsidR="00CE544A" w:rsidRDefault="00CE544A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8419"/>
      </w:tblGrid>
      <w:tr w:rsidR="0097170F" w:rsidRPr="00975B07" w14:paraId="13EA968B" w14:textId="77777777" w:rsidTr="00FB6E8F">
        <w:trPr>
          <w:trHeight w:val="413"/>
        </w:trPr>
        <w:tc>
          <w:tcPr>
            <w:tcW w:w="8845" w:type="dxa"/>
            <w:gridSpan w:val="2"/>
            <w:tcBorders>
              <w:bottom w:val="single" w:sz="8" w:space="0" w:color="000000"/>
            </w:tcBorders>
          </w:tcPr>
          <w:p w14:paraId="3C3D3A19" w14:textId="2437B0D8" w:rsidR="0097170F" w:rsidRPr="00975B07" w:rsidRDefault="0097170F" w:rsidP="00FB6E8F">
            <w:r>
              <w:rPr>
                <w:rStyle w:val="Firstpagetablebold"/>
              </w:rPr>
              <w:t>Recommendation(s</w:t>
            </w:r>
            <w:proofErr w:type="gramStart"/>
            <w:r>
              <w:rPr>
                <w:rStyle w:val="Firstpagetablebold"/>
              </w:rPr>
              <w:t>):</w:t>
            </w:r>
            <w:r w:rsidRPr="008954DF">
              <w:rPr>
                <w:rStyle w:val="Firstpagetablebold"/>
                <w:b w:val="0"/>
              </w:rPr>
              <w:t>That</w:t>
            </w:r>
            <w:proofErr w:type="gramEnd"/>
            <w:r w:rsidRPr="008954DF">
              <w:rPr>
                <w:rStyle w:val="Firstpagetablebold"/>
                <w:b w:val="0"/>
              </w:rPr>
              <w:t xml:space="preserve"> </w:t>
            </w:r>
            <w:r w:rsidR="0067340D" w:rsidRPr="0067340D">
              <w:rPr>
                <w:rStyle w:val="Firstpagetablebold"/>
                <w:b w:val="0"/>
              </w:rPr>
              <w:t>the Audit and Governance Committee</w:t>
            </w:r>
            <w:r w:rsidRPr="008954DF">
              <w:rPr>
                <w:rStyle w:val="Firstpagetablebold"/>
                <w:b w:val="0"/>
              </w:rPr>
              <w:t xml:space="preserve"> resolves to:</w:t>
            </w:r>
          </w:p>
        </w:tc>
      </w:tr>
      <w:tr w:rsidR="0097170F" w:rsidRPr="00975B07" w14:paraId="7EB9BB0E" w14:textId="77777777" w:rsidTr="00146751">
        <w:trPr>
          <w:trHeight w:val="283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99E1496" w14:textId="77777777" w:rsidR="0097170F" w:rsidRPr="00975B07" w:rsidRDefault="0097170F" w:rsidP="00FB6E8F">
            <w:r w:rsidRPr="00975B07">
              <w:t>1.</w:t>
            </w:r>
          </w:p>
        </w:tc>
        <w:tc>
          <w:tcPr>
            <w:tcW w:w="8419" w:type="dxa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14:paraId="308879E9" w14:textId="7DC0601B" w:rsidR="0097170F" w:rsidRPr="001356F1" w:rsidRDefault="00AF0D37" w:rsidP="007D5D88">
            <w:r>
              <w:rPr>
                <w:rStyle w:val="Firstpagetablebold"/>
              </w:rPr>
              <w:t xml:space="preserve">Note </w:t>
            </w:r>
            <w:r w:rsidR="007D5D88">
              <w:rPr>
                <w:rStyle w:val="Firstpagetablebold"/>
              </w:rPr>
              <w:t xml:space="preserve">the </w:t>
            </w:r>
            <w:r>
              <w:rPr>
                <w:rStyle w:val="Firstpagetablebold"/>
              </w:rPr>
              <w:t>positive progress</w:t>
            </w:r>
            <w:r w:rsidR="00C21A77">
              <w:rPr>
                <w:rStyle w:val="Firstpagetablebold"/>
              </w:rPr>
              <w:t xml:space="preserve"> </w:t>
            </w:r>
            <w:r w:rsidR="007D5D88">
              <w:rPr>
                <w:rStyle w:val="Firstpagetablebold"/>
              </w:rPr>
              <w:t xml:space="preserve">being made </w:t>
            </w:r>
            <w:r w:rsidR="00C21A77">
              <w:rPr>
                <w:rStyle w:val="Firstpagetablebold"/>
              </w:rPr>
              <w:t>to improve the workforce sustainability of the Council</w:t>
            </w:r>
            <w:r w:rsidR="007D5D88">
              <w:rPr>
                <w:rStyle w:val="Firstpagetablebold"/>
              </w:rPr>
              <w:t xml:space="preserve"> as set out in the report.</w:t>
            </w:r>
          </w:p>
        </w:tc>
      </w:tr>
    </w:tbl>
    <w:p w14:paraId="6E082CB7" w14:textId="77777777" w:rsidR="0097170F" w:rsidRPr="009E51FC" w:rsidRDefault="0097170F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14:paraId="3860635C" w14:textId="77777777" w:rsidTr="00A46E98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A85F64" w14:textId="77777777"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14:paraId="78B42D03" w14:textId="77777777" w:rsidTr="00146751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nil"/>
            </w:tcBorders>
            <w:shd w:val="clear" w:color="auto" w:fill="auto"/>
          </w:tcPr>
          <w:p w14:paraId="64D086B4" w14:textId="77777777" w:rsidR="00ED5860" w:rsidRPr="00975B07" w:rsidRDefault="00ED5860" w:rsidP="004A6D2F">
            <w:r w:rsidRPr="00975B07">
              <w:t>Appendix 1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000000"/>
            </w:tcBorders>
          </w:tcPr>
          <w:p w14:paraId="2ECC8FC4" w14:textId="63062CC2" w:rsidR="00ED5860" w:rsidRPr="001356F1" w:rsidRDefault="00766C00" w:rsidP="004A6D2F">
            <w:r>
              <w:t>Risk Regi</w:t>
            </w:r>
            <w:r w:rsidR="00E4596A">
              <w:t>ster</w:t>
            </w:r>
          </w:p>
        </w:tc>
      </w:tr>
    </w:tbl>
    <w:p w14:paraId="4CDF5180" w14:textId="77777777" w:rsidR="0040736F" w:rsidRPr="001356F1" w:rsidRDefault="00F66DCA" w:rsidP="004A6D2F">
      <w:pPr>
        <w:pStyle w:val="Heading1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14:paraId="0E32648A" w14:textId="6A59BC72" w:rsidR="0021586F" w:rsidRDefault="00B4023A" w:rsidP="008E4AE2">
      <w:pPr>
        <w:pStyle w:val="ListParagraph"/>
      </w:pPr>
      <w:r>
        <w:t xml:space="preserve">A formal review of </w:t>
      </w:r>
      <w:r w:rsidR="0021586F">
        <w:t>co</w:t>
      </w:r>
      <w:r w:rsidR="0034269A">
        <w:t>rpor</w:t>
      </w:r>
      <w:r w:rsidR="0021586F">
        <w:t>ate risks</w:t>
      </w:r>
      <w:r w:rsidR="0034269A">
        <w:t xml:space="preserve"> has been undertaken by the Corporate Management Team and Service Heads.  </w:t>
      </w:r>
      <w:r w:rsidR="002D1353">
        <w:t xml:space="preserve">Workforce sustainability has been identified as a significant risk for the Council.  </w:t>
      </w:r>
      <w:r w:rsidR="0002215D">
        <w:t xml:space="preserve">This report sets out </w:t>
      </w:r>
      <w:r w:rsidR="006460DA">
        <w:t>the issues that are causing the sustainability of the workforce to be compromised, the likely consequences if left unaddressed and the actions being taken to mitigate the risk.</w:t>
      </w:r>
      <w:r w:rsidR="0002215D">
        <w:t xml:space="preserve"> </w:t>
      </w:r>
    </w:p>
    <w:p w14:paraId="2D601FD5" w14:textId="11CF92DE" w:rsidR="00633578" w:rsidRPr="002B6836" w:rsidRDefault="001738F5" w:rsidP="002B6836">
      <w:pPr>
        <w:pStyle w:val="Heading1"/>
      </w:pPr>
      <w:r>
        <w:t xml:space="preserve">Causes of </w:t>
      </w:r>
      <w:r w:rsidR="006A155F">
        <w:t>risk</w:t>
      </w:r>
    </w:p>
    <w:p w14:paraId="73080A41" w14:textId="77777777" w:rsidR="00516064" w:rsidRDefault="00516064" w:rsidP="00516064">
      <w:pPr>
        <w:pStyle w:val="ListParagraph"/>
      </w:pPr>
      <w:r>
        <w:t>The key indicators that demonstrate concern regarding workforce sustainability include:</w:t>
      </w:r>
    </w:p>
    <w:p w14:paraId="167E61EB" w14:textId="59AA4F94" w:rsidR="00516064" w:rsidRPr="00C92F7F" w:rsidRDefault="00516064" w:rsidP="00516064">
      <w:pPr>
        <w:pStyle w:val="ListParagraph"/>
        <w:numPr>
          <w:ilvl w:val="0"/>
          <w:numId w:val="47"/>
        </w:numPr>
      </w:pPr>
      <w:r>
        <w:t xml:space="preserve">The level of staff turnover has gradually increased over the past year and for the </w:t>
      </w:r>
      <w:proofErr w:type="gramStart"/>
      <w:r>
        <w:t>12 month</w:t>
      </w:r>
      <w:proofErr w:type="gramEnd"/>
      <w:r>
        <w:t xml:space="preserve"> period up to </w:t>
      </w:r>
      <w:r w:rsidR="007D5D88">
        <w:t>31 January 2024</w:t>
      </w:r>
      <w:r>
        <w:t xml:space="preserve"> is set at </w:t>
      </w:r>
      <w:r w:rsidR="00C92F7F" w:rsidRPr="00C92F7F">
        <w:t>15.29</w:t>
      </w:r>
      <w:r w:rsidRPr="00C92F7F">
        <w:t>%</w:t>
      </w:r>
      <w:r w:rsidR="00DB32FF">
        <w:t>.</w:t>
      </w:r>
    </w:p>
    <w:p w14:paraId="2DAA8F1C" w14:textId="75BBCA90" w:rsidR="001D68CF" w:rsidRPr="001D68CF" w:rsidRDefault="00516064" w:rsidP="009E7FE1">
      <w:pPr>
        <w:pStyle w:val="ListParagraph"/>
        <w:numPr>
          <w:ilvl w:val="0"/>
          <w:numId w:val="47"/>
        </w:numPr>
      </w:pPr>
      <w:r>
        <w:t xml:space="preserve">Absence for the organisation is at </w:t>
      </w:r>
      <w:r w:rsidR="00365437">
        <w:t>6.58</w:t>
      </w:r>
      <w:r>
        <w:t xml:space="preserve"> days/FT</w:t>
      </w:r>
      <w:r w:rsidR="00365437">
        <w:t xml:space="preserve">E as </w:t>
      </w:r>
      <w:proofErr w:type="gramStart"/>
      <w:r w:rsidR="00365437">
        <w:t>at</w:t>
      </w:r>
      <w:proofErr w:type="gramEnd"/>
      <w:r w:rsidR="00365437">
        <w:t xml:space="preserve"> </w:t>
      </w:r>
      <w:r w:rsidR="007D5D88" w:rsidRPr="007D5D88">
        <w:t>31 January 2024</w:t>
      </w:r>
      <w:r w:rsidR="007F3A17">
        <w:t xml:space="preserve">. against a target of 6.5 days/ FTE.  </w:t>
      </w:r>
      <w:r w:rsidR="006F335C">
        <w:t xml:space="preserve">These levels </w:t>
      </w:r>
      <w:r w:rsidR="00886A94">
        <w:t xml:space="preserve">range </w:t>
      </w:r>
      <w:r w:rsidR="00AD32D6">
        <w:t xml:space="preserve">across the business and reaching </w:t>
      </w:r>
      <w:r w:rsidR="00AD32D6">
        <w:lastRenderedPageBreak/>
        <w:t>as high as 12.29 days/ FTE in some services.</w:t>
      </w:r>
      <w:r>
        <w:t xml:space="preserve">  </w:t>
      </w:r>
      <w:r w:rsidR="001D68CF" w:rsidRPr="001D68CF">
        <w:t xml:space="preserve">27% of all absence is due to stress, </w:t>
      </w:r>
      <w:proofErr w:type="gramStart"/>
      <w:r w:rsidR="001D68CF" w:rsidRPr="001D68CF">
        <w:t>anxiety</w:t>
      </w:r>
      <w:proofErr w:type="gramEnd"/>
      <w:r w:rsidR="001D68CF" w:rsidRPr="001D68CF">
        <w:t xml:space="preserve"> and depression.</w:t>
      </w:r>
    </w:p>
    <w:p w14:paraId="4252849C" w14:textId="77777777" w:rsidR="0014411B" w:rsidRPr="0018207C" w:rsidRDefault="0014411B" w:rsidP="0014411B">
      <w:pPr>
        <w:pStyle w:val="ListParagraph"/>
        <w:numPr>
          <w:ilvl w:val="0"/>
          <w:numId w:val="47"/>
        </w:numPr>
      </w:pPr>
      <w:r w:rsidRPr="0018207C">
        <w:t xml:space="preserve">Just under 25% of the workforce is aged 56 years and over. </w:t>
      </w:r>
    </w:p>
    <w:p w14:paraId="3068DFFA" w14:textId="4EF486B8" w:rsidR="00EE49BB" w:rsidRPr="0018207C" w:rsidRDefault="00EE49BB" w:rsidP="00EE49BB">
      <w:pPr>
        <w:pStyle w:val="ListParagraph"/>
        <w:numPr>
          <w:ilvl w:val="0"/>
          <w:numId w:val="47"/>
        </w:numPr>
      </w:pPr>
      <w:r w:rsidRPr="0018207C">
        <w:t>Nationally the sector is generally struggling to recruit.</w:t>
      </w:r>
    </w:p>
    <w:p w14:paraId="0194B7C0" w14:textId="3FC6BC52" w:rsidR="004F76E2" w:rsidRPr="0018207C" w:rsidRDefault="007B6064" w:rsidP="00516064">
      <w:pPr>
        <w:pStyle w:val="ListParagraph"/>
        <w:numPr>
          <w:ilvl w:val="0"/>
          <w:numId w:val="47"/>
        </w:numPr>
      </w:pPr>
      <w:r w:rsidRPr="0018207C">
        <w:t>The current c</w:t>
      </w:r>
      <w:r w:rsidR="00BA77FC" w:rsidRPr="0018207C">
        <w:t xml:space="preserve">ost of living crisis </w:t>
      </w:r>
      <w:r w:rsidR="004F76E2" w:rsidRPr="0018207C">
        <w:t>means staff need competitive rates of pay.</w:t>
      </w:r>
    </w:p>
    <w:p w14:paraId="44EBDB86" w14:textId="6799107F" w:rsidR="00EB30FF" w:rsidRPr="00EB0283" w:rsidRDefault="00EA6498" w:rsidP="00EB30FF">
      <w:pPr>
        <w:pStyle w:val="ListParagraph"/>
      </w:pPr>
      <w:r>
        <w:t xml:space="preserve">The </w:t>
      </w:r>
      <w:r w:rsidRPr="00965427">
        <w:t xml:space="preserve">Council </w:t>
      </w:r>
      <w:proofErr w:type="gramStart"/>
      <w:r w:rsidRPr="00965427">
        <w:t>experiences difficulty</w:t>
      </w:r>
      <w:proofErr w:type="gramEnd"/>
      <w:r w:rsidRPr="00965427">
        <w:t xml:space="preserve"> i</w:t>
      </w:r>
      <w:r w:rsidR="00EB30FF" w:rsidRPr="00965427">
        <w:t xml:space="preserve">n recruiting </w:t>
      </w:r>
      <w:r w:rsidRPr="00965427">
        <w:t>to certain roles</w:t>
      </w:r>
      <w:r w:rsidR="0032334A" w:rsidRPr="00965427">
        <w:t>, for example surveyors</w:t>
      </w:r>
      <w:r w:rsidR="0018207C" w:rsidRPr="00965427">
        <w:t>, lawyers and environmental health officers</w:t>
      </w:r>
      <w:r w:rsidR="005C32D7" w:rsidRPr="00965427">
        <w:t xml:space="preserve"> cau</w:t>
      </w:r>
      <w:r w:rsidR="00EB30FF" w:rsidRPr="00965427">
        <w:t xml:space="preserve">sed by a national shortage of </w:t>
      </w:r>
      <w:r w:rsidR="00C03528" w:rsidRPr="00965427">
        <w:t>these</w:t>
      </w:r>
      <w:r w:rsidR="00EB30FF" w:rsidRPr="00965427">
        <w:t xml:space="preserve"> professional skills and </w:t>
      </w:r>
      <w:r w:rsidR="005C32D7" w:rsidRPr="00965427">
        <w:t xml:space="preserve">a resulting </w:t>
      </w:r>
      <w:r w:rsidR="00EB30FF" w:rsidRPr="00965427">
        <w:t>inability to</w:t>
      </w:r>
      <w:r w:rsidR="00EB30FF" w:rsidRPr="00EB0283">
        <w:t xml:space="preserve"> compete on salary</w:t>
      </w:r>
      <w:r w:rsidR="00EB30FF">
        <w:t xml:space="preserve"> costs</w:t>
      </w:r>
      <w:r w:rsidR="00C03528">
        <w:t xml:space="preserve"> due to </w:t>
      </w:r>
      <w:r w:rsidR="006F2750">
        <w:t>the reduced supply of resource</w:t>
      </w:r>
      <w:r w:rsidR="00BE0DA0">
        <w:t xml:space="preserve"> and attractive pay rates of contract work</w:t>
      </w:r>
      <w:r w:rsidR="00EB30FF">
        <w:t xml:space="preserve">.  </w:t>
      </w:r>
    </w:p>
    <w:p w14:paraId="27517AAC" w14:textId="1818DE82" w:rsidR="00EB30FF" w:rsidRPr="00EB0283" w:rsidRDefault="0068342E" w:rsidP="00EB30FF">
      <w:pPr>
        <w:pStyle w:val="ListParagraph"/>
      </w:pPr>
      <w:r>
        <w:t xml:space="preserve">The increasing staff turnover rate </w:t>
      </w:r>
      <w:r w:rsidR="00160B78">
        <w:t xml:space="preserve">is </w:t>
      </w:r>
      <w:r w:rsidR="00EB30FF" w:rsidRPr="00EB0283">
        <w:t xml:space="preserve">caused by </w:t>
      </w:r>
      <w:r w:rsidR="00EB30FF">
        <w:t xml:space="preserve">a range of issues </w:t>
      </w:r>
      <w:r w:rsidR="00CB0F63">
        <w:t xml:space="preserve">the enticement </w:t>
      </w:r>
      <w:r w:rsidR="0029534C">
        <w:t>o</w:t>
      </w:r>
      <w:r w:rsidR="00CB0F63">
        <w:t>f better pay from other organisations</w:t>
      </w:r>
      <w:r w:rsidR="0029534C">
        <w:t xml:space="preserve">; </w:t>
      </w:r>
      <w:r w:rsidR="00EB30FF" w:rsidRPr="00EB0283">
        <w:t>pressure of work from increased demand particularly for our front-line services</w:t>
      </w:r>
      <w:r w:rsidR="0029534C">
        <w:t xml:space="preserve">; </w:t>
      </w:r>
      <w:r w:rsidR="00EB30FF" w:rsidRPr="00EB0283">
        <w:t xml:space="preserve">our ambitious corporate and service </w:t>
      </w:r>
      <w:r w:rsidR="007802FA" w:rsidRPr="00EB0283">
        <w:t>plans</w:t>
      </w:r>
      <w:r w:rsidR="007802FA">
        <w:t xml:space="preserve">; </w:t>
      </w:r>
      <w:r w:rsidR="007802FA" w:rsidRPr="00EB0283">
        <w:t>our</w:t>
      </w:r>
      <w:r w:rsidR="00EB30FF" w:rsidRPr="00EB0283">
        <w:t xml:space="preserve"> capacity and </w:t>
      </w:r>
      <w:r w:rsidR="00EB30FF">
        <w:t>cap</w:t>
      </w:r>
      <w:r w:rsidR="00EB30FF" w:rsidRPr="00EB0283">
        <w:t>ability for change</w:t>
      </w:r>
      <w:r w:rsidR="0029534C">
        <w:t>; and staff reaching retirement age</w:t>
      </w:r>
      <w:r w:rsidR="00EB30FF">
        <w:t>.</w:t>
      </w:r>
      <w:r w:rsidR="00EB30FF" w:rsidRPr="00EB0283">
        <w:t xml:space="preserve"> </w:t>
      </w:r>
    </w:p>
    <w:p w14:paraId="01767A5F" w14:textId="77777777" w:rsidR="00C54EF4" w:rsidRDefault="00C54EF4" w:rsidP="00C54EF4"/>
    <w:p w14:paraId="1EF0C3B8" w14:textId="6AED40F9" w:rsidR="008D67BC" w:rsidRPr="00F027E3" w:rsidRDefault="006A155F" w:rsidP="00F027E3">
      <w:pPr>
        <w:rPr>
          <w:b/>
          <w:bCs/>
        </w:rPr>
      </w:pPr>
      <w:r>
        <w:rPr>
          <w:b/>
          <w:bCs/>
        </w:rPr>
        <w:t>Consequences of risk</w:t>
      </w:r>
    </w:p>
    <w:p w14:paraId="06DA5468" w14:textId="7FC02F7D" w:rsidR="00EB30FF" w:rsidRDefault="00DD41BE" w:rsidP="005B3747">
      <w:pPr>
        <w:pStyle w:val="ListParagraph"/>
      </w:pPr>
      <w:r>
        <w:rPr>
          <w:rFonts w:cstheme="minorHAnsi"/>
        </w:rPr>
        <w:t xml:space="preserve">If </w:t>
      </w:r>
      <w:r w:rsidR="00C03811">
        <w:rPr>
          <w:rFonts w:cstheme="minorHAnsi"/>
        </w:rPr>
        <w:t xml:space="preserve">these risk </w:t>
      </w:r>
      <w:r w:rsidR="00EB30FF">
        <w:rPr>
          <w:rFonts w:cstheme="minorHAnsi"/>
        </w:rPr>
        <w:t xml:space="preserve">factors </w:t>
      </w:r>
      <w:r w:rsidR="00C03811">
        <w:rPr>
          <w:rFonts w:cstheme="minorHAnsi"/>
        </w:rPr>
        <w:t xml:space="preserve">are left unaddressed this </w:t>
      </w:r>
      <w:r w:rsidR="00EB30FF">
        <w:rPr>
          <w:rFonts w:cstheme="minorHAnsi"/>
        </w:rPr>
        <w:t xml:space="preserve">may result in </w:t>
      </w:r>
      <w:r w:rsidR="00EB30FF" w:rsidRPr="00EB0283">
        <w:rPr>
          <w:rFonts w:cstheme="minorHAnsi"/>
        </w:rPr>
        <w:t>increased workloads, low morale, an impact on wellbeing</w:t>
      </w:r>
      <w:r w:rsidR="00EB30FF">
        <w:rPr>
          <w:rFonts w:cstheme="minorHAnsi"/>
        </w:rPr>
        <w:t xml:space="preserve"> and absence levels</w:t>
      </w:r>
      <w:r w:rsidR="00EB30FF" w:rsidRPr="00EB0283">
        <w:rPr>
          <w:rFonts w:cstheme="minorHAnsi"/>
        </w:rPr>
        <w:t>, increas</w:t>
      </w:r>
      <w:r w:rsidR="00EB30FF">
        <w:rPr>
          <w:rFonts w:cstheme="minorHAnsi"/>
        </w:rPr>
        <w:t>ed</w:t>
      </w:r>
      <w:r w:rsidR="00EB30FF" w:rsidRPr="00EB0283">
        <w:rPr>
          <w:rFonts w:cstheme="minorHAnsi"/>
        </w:rPr>
        <w:t xml:space="preserve"> levels of turnover, and </w:t>
      </w:r>
      <w:r w:rsidR="00F15E1B">
        <w:rPr>
          <w:rFonts w:cstheme="minorHAnsi"/>
        </w:rPr>
        <w:t xml:space="preserve">ultimately </w:t>
      </w:r>
      <w:r w:rsidR="00EB30FF" w:rsidRPr="00EB0283">
        <w:rPr>
          <w:rFonts w:cstheme="minorHAnsi"/>
        </w:rPr>
        <w:t>an impact on service delivery</w:t>
      </w:r>
      <w:r w:rsidR="00F15E1B">
        <w:rPr>
          <w:rFonts w:cstheme="minorHAnsi"/>
        </w:rPr>
        <w:t>.</w:t>
      </w:r>
    </w:p>
    <w:p w14:paraId="1D056875" w14:textId="77777777" w:rsidR="00CB49AE" w:rsidRDefault="00CB49AE" w:rsidP="00CB49AE">
      <w:pPr>
        <w:pStyle w:val="ListParagraph"/>
        <w:numPr>
          <w:ilvl w:val="0"/>
          <w:numId w:val="0"/>
        </w:numPr>
        <w:ind w:left="426"/>
      </w:pPr>
    </w:p>
    <w:p w14:paraId="51F93A37" w14:textId="2B17D545" w:rsidR="00CB49AE" w:rsidRPr="00CB49AE" w:rsidRDefault="00CB49AE" w:rsidP="00CB49AE">
      <w:pPr>
        <w:ind w:left="426" w:hanging="426"/>
        <w:rPr>
          <w:b/>
          <w:bCs/>
        </w:rPr>
      </w:pPr>
      <w:r w:rsidRPr="00CB49AE">
        <w:rPr>
          <w:b/>
          <w:bCs/>
        </w:rPr>
        <w:t xml:space="preserve">Actions to mitigate </w:t>
      </w:r>
      <w:proofErr w:type="gramStart"/>
      <w:r w:rsidRPr="00CB49AE">
        <w:rPr>
          <w:b/>
          <w:bCs/>
        </w:rPr>
        <w:t>risk</w:t>
      </w:r>
      <w:proofErr w:type="gramEnd"/>
    </w:p>
    <w:p w14:paraId="727D0CBF" w14:textId="09E48617" w:rsidR="00CB49AE" w:rsidRDefault="00A0708B" w:rsidP="005B3747">
      <w:pPr>
        <w:pStyle w:val="ListParagraph"/>
      </w:pPr>
      <w:r>
        <w:t xml:space="preserve">There is however a comprehensive programme of work in situ to mitigate </w:t>
      </w:r>
      <w:r w:rsidR="000129D1">
        <w:t>both the causes and consequences</w:t>
      </w:r>
      <w:r w:rsidR="001876CF">
        <w:t xml:space="preserve"> </w:t>
      </w:r>
      <w:r w:rsidR="008831DE">
        <w:t>of the workforce sustainability risks</w:t>
      </w:r>
      <w:r w:rsidR="00BC3395">
        <w:t xml:space="preserve">.  </w:t>
      </w:r>
      <w:r w:rsidR="001876CF">
        <w:t>These are detailed below.</w:t>
      </w:r>
    </w:p>
    <w:p w14:paraId="498B849B" w14:textId="1CE393B1" w:rsidR="00074D54" w:rsidRPr="00EB0283" w:rsidRDefault="008831DE" w:rsidP="00074D54">
      <w:pPr>
        <w:pStyle w:val="ListParagraph"/>
      </w:pPr>
      <w:r>
        <w:t>The l</w:t>
      </w:r>
      <w:r w:rsidR="00074D54" w:rsidRPr="00EB0283">
        <w:t xml:space="preserve">ocal pay deal </w:t>
      </w:r>
      <w:r>
        <w:t xml:space="preserve">has been </w:t>
      </w:r>
      <w:r w:rsidR="00074D54" w:rsidRPr="00EB0283">
        <w:t xml:space="preserve">agreed with the unions for two years effective from </w:t>
      </w:r>
      <w:r w:rsidR="007D5D88">
        <w:t>1 April 2024</w:t>
      </w:r>
      <w:r w:rsidR="00074D54" w:rsidRPr="00EB0283">
        <w:t xml:space="preserve">.  This provides for a 6.5% cost of living increase in </w:t>
      </w:r>
      <w:r w:rsidR="007D5D88">
        <w:t>the financial year 20</w:t>
      </w:r>
      <w:r w:rsidR="00074D54" w:rsidRPr="00EB0283">
        <w:t xml:space="preserve">24/25 and enables staff not already </w:t>
      </w:r>
      <w:r w:rsidR="007D5D88">
        <w:t>at</w:t>
      </w:r>
      <w:r w:rsidR="007D5D88" w:rsidRPr="00EB0283">
        <w:t xml:space="preserve"> </w:t>
      </w:r>
      <w:r w:rsidR="00074D54" w:rsidRPr="00EB0283">
        <w:t xml:space="preserve">the top of their grade to receive an incremental rise in pay.  (This will apply to circa 80% of staff).  </w:t>
      </w:r>
      <w:r w:rsidR="007D5D88">
        <w:t>For</w:t>
      </w:r>
      <w:r w:rsidR="007D5D88" w:rsidRPr="00EB0283">
        <w:t xml:space="preserve"> </w:t>
      </w:r>
      <w:r w:rsidR="007D5D88">
        <w:t>the following financial year, 20</w:t>
      </w:r>
      <w:r w:rsidR="00074D54" w:rsidRPr="00EB0283">
        <w:t>25/26</w:t>
      </w:r>
      <w:r w:rsidR="007D5D88">
        <w:t>,</w:t>
      </w:r>
      <w:r w:rsidR="00074D54" w:rsidRPr="00EB0283">
        <w:t xml:space="preserve"> the </w:t>
      </w:r>
      <w:proofErr w:type="gramStart"/>
      <w:r w:rsidR="00074D54" w:rsidRPr="00EB0283">
        <w:t>cost of living</w:t>
      </w:r>
      <w:proofErr w:type="gramEnd"/>
      <w:r w:rsidR="00074D54" w:rsidRPr="00EB0283">
        <w:t xml:space="preserve"> increase </w:t>
      </w:r>
      <w:r w:rsidR="008D7C84">
        <w:t>has been</w:t>
      </w:r>
      <w:r w:rsidR="00074D54" w:rsidRPr="00EB0283">
        <w:t xml:space="preserve"> agreed at 3% and an additional day</w:t>
      </w:r>
      <w:r w:rsidR="00A80BA6">
        <w:t>’</w:t>
      </w:r>
      <w:r w:rsidR="00074D54" w:rsidRPr="00EB0283">
        <w:t>s leave will also be awarded to each staff member.</w:t>
      </w:r>
    </w:p>
    <w:p w14:paraId="086B06A7" w14:textId="1CDBF923" w:rsidR="00074D54" w:rsidRPr="001A4CB5" w:rsidRDefault="00074D54" w:rsidP="00074D54">
      <w:pPr>
        <w:pStyle w:val="ListParagraph"/>
      </w:pPr>
      <w:r>
        <w:t>T</w:t>
      </w:r>
      <w:r w:rsidRPr="00EB0283">
        <w:t xml:space="preserve">he pay and grading arrangements for the authority </w:t>
      </w:r>
      <w:r>
        <w:t>are currently being reviewed.  The objectives of the review are to</w:t>
      </w:r>
      <w:r w:rsidRPr="00EB0283">
        <w:t xml:space="preserve"> particularly ensure across the </w:t>
      </w:r>
      <w:r w:rsidR="007D5D88">
        <w:t>Council and its wholly owned companies</w:t>
      </w:r>
      <w:r w:rsidRPr="00EB0283">
        <w:t xml:space="preserve"> that </w:t>
      </w:r>
      <w:r>
        <w:t xml:space="preserve">market-based pay </w:t>
      </w:r>
      <w:r w:rsidR="008D7C84">
        <w:t xml:space="preserve">is reflected </w:t>
      </w:r>
      <w:r>
        <w:t>across the organisation</w:t>
      </w:r>
      <w:r w:rsidR="007D5D88">
        <w:t>s</w:t>
      </w:r>
      <w:r>
        <w:t xml:space="preserve"> as appropriate</w:t>
      </w:r>
      <w:r w:rsidR="00C84306">
        <w:t>;</w:t>
      </w:r>
      <w:r>
        <w:t xml:space="preserve"> </w:t>
      </w:r>
      <w:r w:rsidR="008D7C84">
        <w:t>the</w:t>
      </w:r>
      <w:r w:rsidRPr="00EB0283">
        <w:t xml:space="preserve"> approach to </w:t>
      </w:r>
      <w:proofErr w:type="gramStart"/>
      <w:r w:rsidRPr="00EB0283">
        <w:t>market based</w:t>
      </w:r>
      <w:proofErr w:type="gramEnd"/>
      <w:r w:rsidRPr="00EB0283">
        <w:t xml:space="preserve"> pay is equitable</w:t>
      </w:r>
      <w:r w:rsidR="00C84306">
        <w:t>;</w:t>
      </w:r>
      <w:r w:rsidRPr="00EB0283">
        <w:t xml:space="preserve"> </w:t>
      </w:r>
      <w:r w:rsidR="00C845F7">
        <w:t>the</w:t>
      </w:r>
      <w:r w:rsidRPr="001A4CB5">
        <w:t xml:space="preserve"> job evaluation process is consistent, and internal relativities are maintained.  Th</w:t>
      </w:r>
      <w:r w:rsidR="000E2054">
        <w:t>e</w:t>
      </w:r>
      <w:r w:rsidRPr="001A4CB5">
        <w:t xml:space="preserve"> </w:t>
      </w:r>
      <w:r w:rsidR="007D5D88">
        <w:t xml:space="preserve">review </w:t>
      </w:r>
      <w:r w:rsidRPr="001A4CB5">
        <w:t>is likely to be implemented in the summer of 2024.</w:t>
      </w:r>
    </w:p>
    <w:p w14:paraId="0CEAEE11" w14:textId="1A53010E" w:rsidR="00074D54" w:rsidRPr="001A4CB5" w:rsidRDefault="00074D54" w:rsidP="00074D54">
      <w:pPr>
        <w:pStyle w:val="ListParagraph"/>
      </w:pPr>
      <w:r w:rsidRPr="001A4CB5">
        <w:t xml:space="preserve">The </w:t>
      </w:r>
      <w:r w:rsidR="007D5D88">
        <w:t xml:space="preserve">ongoing </w:t>
      </w:r>
      <w:r w:rsidRPr="001A4CB5">
        <w:t xml:space="preserve">Leadership and Development programme has already delivered modules on managing and motivating performance. </w:t>
      </w:r>
      <w:r w:rsidR="00C84306">
        <w:t>This will be continued with a focus on aspiring managers across the Council.</w:t>
      </w:r>
    </w:p>
    <w:p w14:paraId="2BBBBAE6" w14:textId="77777777" w:rsidR="00074D54" w:rsidRPr="009F33B2" w:rsidRDefault="00074D54" w:rsidP="00074D54">
      <w:pPr>
        <w:pStyle w:val="ListParagraph"/>
      </w:pPr>
      <w:r>
        <w:t>Policy and procedure training has also been provided on s</w:t>
      </w:r>
      <w:r w:rsidRPr="00EB0283">
        <w:t xml:space="preserve">pecific aspects of </w:t>
      </w:r>
      <w:r>
        <w:t xml:space="preserve">people </w:t>
      </w:r>
      <w:r w:rsidRPr="00EB0283">
        <w:t>manag</w:t>
      </w:r>
      <w:r>
        <w:t xml:space="preserve">ement, </w:t>
      </w:r>
      <w:r w:rsidRPr="00EB0283">
        <w:t>with training workshops over the past 12 months on managing absence</w:t>
      </w:r>
      <w:r w:rsidRPr="009F33B2">
        <w:t xml:space="preserve">, </w:t>
      </w:r>
      <w:proofErr w:type="gramStart"/>
      <w:r w:rsidRPr="009F33B2">
        <w:t>performance</w:t>
      </w:r>
      <w:proofErr w:type="gramEnd"/>
      <w:r w:rsidRPr="009F33B2">
        <w:t xml:space="preserve"> and discipline. </w:t>
      </w:r>
    </w:p>
    <w:p w14:paraId="5BFDD049" w14:textId="6E855129" w:rsidR="00074D54" w:rsidRPr="00EB0283" w:rsidRDefault="00074D54" w:rsidP="00074D54">
      <w:pPr>
        <w:pStyle w:val="ListParagraph"/>
      </w:pPr>
      <w:proofErr w:type="gramStart"/>
      <w:r>
        <w:t>Following the migration to Microsoft 365, t</w:t>
      </w:r>
      <w:r w:rsidRPr="00EB0283">
        <w:t>here</w:t>
      </w:r>
      <w:proofErr w:type="gramEnd"/>
      <w:r w:rsidRPr="00EB0283">
        <w:t xml:space="preserve"> has also been digital skills training available for all staff, with the latest MS365 changes supported by a cohort of circa </w:t>
      </w:r>
      <w:r w:rsidRPr="00EB0283">
        <w:lastRenderedPageBreak/>
        <w:t>20 change agents across the organisation</w:t>
      </w:r>
      <w:r w:rsidR="001F7452">
        <w:t xml:space="preserve">.  The change agents </w:t>
      </w:r>
      <w:r w:rsidR="00F7333D">
        <w:t>ae allocated to teams across the Council</w:t>
      </w:r>
      <w:r w:rsidR="00E74229">
        <w:t xml:space="preserve">, </w:t>
      </w:r>
      <w:r w:rsidR="00F7333D">
        <w:t>ensuring colleagues</w:t>
      </w:r>
      <w:r w:rsidR="001F7452">
        <w:t xml:space="preserve"> up to speed with </w:t>
      </w:r>
      <w:r w:rsidR="00A16CBC">
        <w:t xml:space="preserve">the </w:t>
      </w:r>
      <w:r w:rsidR="001F7452">
        <w:t>changes and to resolve any issues they may have</w:t>
      </w:r>
      <w:r>
        <w:t>.</w:t>
      </w:r>
    </w:p>
    <w:p w14:paraId="332C6C58" w14:textId="0E9D5C86" w:rsidR="00074D54" w:rsidRPr="00EB0283" w:rsidRDefault="00074D54" w:rsidP="00074D54">
      <w:pPr>
        <w:pStyle w:val="ListParagraph"/>
      </w:pPr>
      <w:r w:rsidRPr="00EB0283">
        <w:t xml:space="preserve">Staff </w:t>
      </w:r>
      <w:r w:rsidR="009C48DE">
        <w:t>w</w:t>
      </w:r>
      <w:r w:rsidRPr="00EB0283">
        <w:t>ellbeing initiatives have included a wellbeing at work week</w:t>
      </w:r>
      <w:r>
        <w:t>, offer</w:t>
      </w:r>
      <w:r w:rsidR="00C84306">
        <w:t>ing</w:t>
      </w:r>
      <w:r>
        <w:t xml:space="preserve"> access to support if employees are struggling with mental health </w:t>
      </w:r>
      <w:r w:rsidR="00C84306">
        <w:t>issues</w:t>
      </w:r>
      <w:r w:rsidR="003D4FBF">
        <w:t>.  T</w:t>
      </w:r>
      <w:r>
        <w:t>he occupational health service supports management of employees with health problems</w:t>
      </w:r>
      <w:r w:rsidR="00520DB4">
        <w:t xml:space="preserve">. The </w:t>
      </w:r>
      <w:r w:rsidR="00BF3076">
        <w:t xml:space="preserve">employee assistance programme </w:t>
      </w:r>
      <w:r w:rsidR="00736E90">
        <w:t xml:space="preserve">provides all </w:t>
      </w:r>
      <w:r w:rsidR="00BF3076">
        <w:t>employees</w:t>
      </w:r>
      <w:r w:rsidR="00736E90">
        <w:t xml:space="preserve"> and their families with support, information, expert </w:t>
      </w:r>
      <w:proofErr w:type="gramStart"/>
      <w:r w:rsidR="00736E90">
        <w:t>advice</w:t>
      </w:r>
      <w:proofErr w:type="gramEnd"/>
      <w:r w:rsidR="00736E90">
        <w:t xml:space="preserve"> and specialist counselling to help prepare for life</w:t>
      </w:r>
      <w:r w:rsidR="00C451AD">
        <w:t>’s predictable milestones and its unexpected events.</w:t>
      </w:r>
    </w:p>
    <w:p w14:paraId="4A452E0E" w14:textId="0B43BFC5" w:rsidR="00074D54" w:rsidRPr="00EB0283" w:rsidRDefault="00074D54" w:rsidP="00074D54">
      <w:pPr>
        <w:pStyle w:val="ListParagraph"/>
      </w:pPr>
      <w:r>
        <w:t>A</w:t>
      </w:r>
      <w:r w:rsidRPr="00EB0283">
        <w:t xml:space="preserve"> comprehensive approach to communicating with the organisation </w:t>
      </w:r>
      <w:r>
        <w:t xml:space="preserve">has been undertaken </w:t>
      </w:r>
      <w:r w:rsidRPr="00EB0283">
        <w:t xml:space="preserve">to improve staff understanding and awareness of the various activities </w:t>
      </w:r>
      <w:r w:rsidR="00BB211B">
        <w:t>on offer</w:t>
      </w:r>
      <w:r w:rsidRPr="00EB0283">
        <w:t xml:space="preserve">.  These include Leadership Conversations with the management cohort, all staff Let’s </w:t>
      </w:r>
      <w:r>
        <w:t>T</w:t>
      </w:r>
      <w:r w:rsidRPr="00EB0283">
        <w:t xml:space="preserve">alk briefings and Lunch and </w:t>
      </w:r>
      <w:r>
        <w:t>L</w:t>
      </w:r>
      <w:r w:rsidRPr="00EB0283">
        <w:t xml:space="preserve">earn sessions that have been successful at opening conversations in respect of equality, </w:t>
      </w:r>
      <w:proofErr w:type="gramStart"/>
      <w:r w:rsidRPr="00EB0283">
        <w:t>diversity</w:t>
      </w:r>
      <w:proofErr w:type="gramEnd"/>
      <w:r w:rsidRPr="00EB0283">
        <w:t xml:space="preserve"> and inclusion.</w:t>
      </w:r>
    </w:p>
    <w:p w14:paraId="5B04B0DE" w14:textId="784B8D48" w:rsidR="00074D54" w:rsidRDefault="00074D54" w:rsidP="00074D54">
      <w:pPr>
        <w:pStyle w:val="ListParagraph"/>
      </w:pPr>
      <w:r w:rsidRPr="00D81D1D">
        <w:t xml:space="preserve">The recruitment </w:t>
      </w:r>
      <w:r w:rsidRPr="00965427">
        <w:t xml:space="preserve">procedure has been developed to include more proactive recruitment campaigns, and better use of LinkedIn for example.  </w:t>
      </w:r>
      <w:r w:rsidR="00B373D0" w:rsidRPr="00965427">
        <w:t xml:space="preserve">Job applications have already increased in the past </w:t>
      </w:r>
      <w:r w:rsidR="00B96CF3" w:rsidRPr="00965427">
        <w:t>12</w:t>
      </w:r>
      <w:r w:rsidR="00B373D0" w:rsidRPr="00965427">
        <w:t xml:space="preserve"> months by 30%.  </w:t>
      </w:r>
      <w:r w:rsidRPr="00965427">
        <w:t>There is also better outreach into the community to enable more inclusive recruitment to improve</w:t>
      </w:r>
      <w:r w:rsidRPr="00D81D1D">
        <w:t xml:space="preserve"> workforce representation.  For </w:t>
      </w:r>
      <w:proofErr w:type="gramStart"/>
      <w:r w:rsidRPr="00D81D1D">
        <w:t>example</w:t>
      </w:r>
      <w:proofErr w:type="gramEnd"/>
      <w:r w:rsidRPr="00D81D1D">
        <w:t xml:space="preserve"> </w:t>
      </w:r>
      <w:r w:rsidR="009C48DE">
        <w:t>the Council is</w:t>
      </w:r>
      <w:r w:rsidR="009C48DE" w:rsidRPr="00D81D1D">
        <w:t xml:space="preserve"> </w:t>
      </w:r>
      <w:r w:rsidRPr="00D81D1D">
        <w:t xml:space="preserve">trialling activities in collaboration with Activate Learning to encourage more applicants from the community for entry level roles.  </w:t>
      </w:r>
    </w:p>
    <w:p w14:paraId="5E02100F" w14:textId="37ED3393" w:rsidR="00074D54" w:rsidRDefault="00074D54" w:rsidP="00074D54">
      <w:pPr>
        <w:pStyle w:val="ListParagraph"/>
      </w:pPr>
      <w:r w:rsidRPr="00D81D1D">
        <w:t xml:space="preserve">The organisation is also </w:t>
      </w:r>
      <w:r w:rsidR="00B96CF3">
        <w:t>develop</w:t>
      </w:r>
      <w:r w:rsidRPr="00D81D1D">
        <w:t xml:space="preserve">ing </w:t>
      </w:r>
      <w:r w:rsidR="004F14FE">
        <w:t>the</w:t>
      </w:r>
      <w:r w:rsidRPr="00D81D1D">
        <w:t xml:space="preserve"> use of </w:t>
      </w:r>
      <w:r>
        <w:t xml:space="preserve">recruitment </w:t>
      </w:r>
      <w:r w:rsidRPr="00D81D1D">
        <w:t xml:space="preserve">videos </w:t>
      </w:r>
      <w:r>
        <w:t xml:space="preserve">on </w:t>
      </w:r>
      <w:r w:rsidR="009C48DE">
        <w:t xml:space="preserve">its </w:t>
      </w:r>
      <w:r>
        <w:t xml:space="preserve">website </w:t>
      </w:r>
      <w:r w:rsidRPr="00D81D1D">
        <w:t xml:space="preserve">to give a fresh and more appealing view of the organisation for potential candidates.  </w:t>
      </w:r>
    </w:p>
    <w:p w14:paraId="102F005F" w14:textId="15CE0330" w:rsidR="00074D54" w:rsidRPr="00D81D1D" w:rsidRDefault="00B373D0" w:rsidP="00074D54">
      <w:pPr>
        <w:pStyle w:val="ListParagraph"/>
      </w:pPr>
      <w:r>
        <w:t>C</w:t>
      </w:r>
      <w:r w:rsidR="00074D54">
        <w:t xml:space="preserve">areer development pathways </w:t>
      </w:r>
      <w:r>
        <w:t xml:space="preserve">have been introduced </w:t>
      </w:r>
      <w:r w:rsidR="00074D54">
        <w:t>for legal, building control and environmental health roles in 2023</w:t>
      </w:r>
      <w:r>
        <w:t>.</w:t>
      </w:r>
    </w:p>
    <w:p w14:paraId="762DE5B8" w14:textId="70B35737" w:rsidR="00074D54" w:rsidRPr="0079635D" w:rsidRDefault="00074D54" w:rsidP="00074D54">
      <w:pPr>
        <w:pStyle w:val="ListParagraph"/>
      </w:pPr>
      <w:r w:rsidRPr="0079635D">
        <w:t xml:space="preserve">There has been a series of workshops encouraging the use of apprenticeships within </w:t>
      </w:r>
      <w:r w:rsidR="009C48DE">
        <w:t>already</w:t>
      </w:r>
      <w:r w:rsidR="009C48DE" w:rsidRPr="0079635D">
        <w:t xml:space="preserve"> </w:t>
      </w:r>
      <w:r w:rsidRPr="0079635D">
        <w:t>establishment roles.</w:t>
      </w:r>
    </w:p>
    <w:p w14:paraId="59D2C04C" w14:textId="77777777" w:rsidR="00074D54" w:rsidRPr="00EB0283" w:rsidRDefault="00074D54" w:rsidP="00074D54">
      <w:pPr>
        <w:pStyle w:val="ListParagraph"/>
      </w:pPr>
      <w:r>
        <w:t>There is an aspiration to have a s</w:t>
      </w:r>
      <w:r w:rsidRPr="00EB0283">
        <w:t xml:space="preserve">maller </w:t>
      </w:r>
      <w:r>
        <w:t xml:space="preserve">and </w:t>
      </w:r>
      <w:r w:rsidRPr="00EB0283">
        <w:t>better paid workforce</w:t>
      </w:r>
      <w:r>
        <w:t xml:space="preserve">.  </w:t>
      </w:r>
      <w:r w:rsidRPr="00EB0283">
        <w:t xml:space="preserve">This could be made possible from a review of </w:t>
      </w:r>
      <w:r>
        <w:t xml:space="preserve">the </w:t>
      </w:r>
      <w:r w:rsidRPr="00EB0283">
        <w:t>layers and spans</w:t>
      </w:r>
      <w:r>
        <w:t xml:space="preserve"> in our structures</w:t>
      </w:r>
      <w:r w:rsidRPr="00EB0283">
        <w:t>, and</w:t>
      </w:r>
      <w:r>
        <w:t xml:space="preserve"> a re-definition of the </w:t>
      </w:r>
      <w:r w:rsidRPr="00EB0283">
        <w:t>contribution levels</w:t>
      </w:r>
      <w:r>
        <w:t xml:space="preserve"> associated with each management tier</w:t>
      </w:r>
      <w:r w:rsidRPr="00EB0283">
        <w:t xml:space="preserve">.  This would need to be enabled </w:t>
      </w:r>
      <w:r>
        <w:t>by</w:t>
      </w:r>
      <w:r w:rsidRPr="00EB0283">
        <w:t xml:space="preserve"> </w:t>
      </w:r>
      <w:r>
        <w:t xml:space="preserve">increased </w:t>
      </w:r>
      <w:r w:rsidRPr="00EB0283">
        <w:t xml:space="preserve">prioritisation as part of </w:t>
      </w:r>
      <w:r>
        <w:t>the</w:t>
      </w:r>
      <w:r w:rsidRPr="00EB0283">
        <w:t xml:space="preserve"> business planning </w:t>
      </w:r>
      <w:r>
        <w:t xml:space="preserve">process </w:t>
      </w:r>
      <w:r w:rsidRPr="00EB0283">
        <w:t>and</w:t>
      </w:r>
      <w:r>
        <w:t xml:space="preserve"> from continued leadership development and</w:t>
      </w:r>
      <w:r w:rsidRPr="00EB0283">
        <w:t xml:space="preserve"> improved skills.  </w:t>
      </w:r>
      <w:r>
        <w:t xml:space="preserve">The delivery of this aspiration may </w:t>
      </w:r>
      <w:r w:rsidRPr="00EB0283">
        <w:t xml:space="preserve">improve </w:t>
      </w:r>
      <w:r>
        <w:t xml:space="preserve">the organisation’s </w:t>
      </w:r>
      <w:r w:rsidRPr="00EB0283">
        <w:t xml:space="preserve">ability to recruit and </w:t>
      </w:r>
      <w:r>
        <w:t xml:space="preserve">in turn </w:t>
      </w:r>
      <w:r w:rsidRPr="00EB0283">
        <w:t xml:space="preserve">could improve morale.  </w:t>
      </w:r>
    </w:p>
    <w:p w14:paraId="75D3EC41" w14:textId="77777777" w:rsidR="008D67BC" w:rsidRPr="002B6836" w:rsidRDefault="008D67BC" w:rsidP="008D67BC">
      <w:pPr>
        <w:pStyle w:val="Heading1"/>
      </w:pPr>
      <w:r w:rsidRPr="002B6836">
        <w:t>Financial implications</w:t>
      </w:r>
    </w:p>
    <w:p w14:paraId="4436FF20" w14:textId="0516608A" w:rsidR="008D67BC" w:rsidRDefault="008D67BC" w:rsidP="008D67BC">
      <w:pPr>
        <w:pStyle w:val="ListParagraph"/>
      </w:pPr>
      <w:r>
        <w:t>There are no financial implications</w:t>
      </w:r>
      <w:r w:rsidR="005B3747" w:rsidRPr="005B3747">
        <w:t>.</w:t>
      </w:r>
    </w:p>
    <w:p w14:paraId="4AD4E031" w14:textId="77777777" w:rsidR="008D67BC" w:rsidRPr="00C80ECA" w:rsidRDefault="008D67BC" w:rsidP="008D67BC">
      <w:pPr>
        <w:pStyle w:val="Heading1"/>
      </w:pPr>
      <w:r w:rsidRPr="001356F1">
        <w:t xml:space="preserve">Legal </w:t>
      </w:r>
      <w:r w:rsidRPr="00C80ECA">
        <w:t>issues</w:t>
      </w:r>
    </w:p>
    <w:p w14:paraId="1213F878" w14:textId="5B8A99FA" w:rsidR="008D67BC" w:rsidRPr="00C80ECA" w:rsidRDefault="008D67BC" w:rsidP="008D67BC">
      <w:pPr>
        <w:pStyle w:val="ListParagraph"/>
      </w:pPr>
      <w:r w:rsidRPr="00C80ECA">
        <w:t>There are no legal implications</w:t>
      </w:r>
      <w:r w:rsidR="009C48DE" w:rsidRPr="00C80ECA">
        <w:t xml:space="preserve"> arising directly from this report.</w:t>
      </w:r>
    </w:p>
    <w:p w14:paraId="304F6D28" w14:textId="77777777" w:rsidR="00A03206" w:rsidRPr="00F5706C" w:rsidRDefault="00A03206" w:rsidP="00A03206">
      <w:pPr>
        <w:pStyle w:val="Heading1"/>
      </w:pPr>
      <w:r w:rsidRPr="00F5706C">
        <w:t>Level of risk</w:t>
      </w:r>
    </w:p>
    <w:p w14:paraId="786BFB0A" w14:textId="2C9FD6CC" w:rsidR="008D67BC" w:rsidRPr="00F5706C" w:rsidRDefault="00C74F2C" w:rsidP="008D67BC">
      <w:pPr>
        <w:pStyle w:val="ListParagraph"/>
      </w:pPr>
      <w:r w:rsidRPr="00F5706C">
        <w:t>The</w:t>
      </w:r>
      <w:r w:rsidR="00A03206" w:rsidRPr="00F5706C">
        <w:t xml:space="preserve"> risk register</w:t>
      </w:r>
      <w:r w:rsidRPr="00F5706C">
        <w:t xml:space="preserve"> is attached at appendix 1.</w:t>
      </w:r>
    </w:p>
    <w:p w14:paraId="1DE03B46" w14:textId="6FFC2602" w:rsidR="00F5706C" w:rsidRPr="001356F1" w:rsidRDefault="0086105C" w:rsidP="00F5706C">
      <w:pPr>
        <w:pStyle w:val="Heading1"/>
      </w:pPr>
      <w:r>
        <w:t>E</w:t>
      </w:r>
      <w:r w:rsidR="00F5706C" w:rsidRPr="001356F1">
        <w:t xml:space="preserve">qualities impact </w:t>
      </w:r>
    </w:p>
    <w:p w14:paraId="0E198AFC" w14:textId="77777777" w:rsidR="00BE76F4" w:rsidRPr="002D3C9D" w:rsidRDefault="00AD11A7" w:rsidP="008D67BC">
      <w:pPr>
        <w:pStyle w:val="ListParagraph"/>
      </w:pPr>
      <w:r w:rsidRPr="002D3C9D">
        <w:lastRenderedPageBreak/>
        <w:t xml:space="preserve">The Council’s People Strategy defines the Council’s ambition for its workforce to have the right people, with the rights skills, highly motivated, high performing and business-efficient delivering the best outcomes to the people of Oxford. The strategy articulates the respectful, </w:t>
      </w:r>
      <w:proofErr w:type="gramStart"/>
      <w:r w:rsidRPr="002D3C9D">
        <w:t>inclusive</w:t>
      </w:r>
      <w:proofErr w:type="gramEnd"/>
      <w:r w:rsidRPr="002D3C9D">
        <w:t xml:space="preserve"> and supportive culture that will nurture a more representative workforce – taking a more authentic approach that focuses beyond key performance indicators.</w:t>
      </w:r>
    </w:p>
    <w:p w14:paraId="7F88AA3E" w14:textId="77777777" w:rsidR="00BE76F4" w:rsidRPr="00BE76F4" w:rsidRDefault="00BE76F4" w:rsidP="00BE76F4">
      <w:pPr>
        <w:pStyle w:val="ListParagraph"/>
      </w:pPr>
      <w:r w:rsidRPr="002D3C9D">
        <w:t>The People Strategy is divided into six key themes to address the external context the Council faces and enable our business goals. These link every aspect of a person’s career cycle, ensuring the highest</w:t>
      </w:r>
      <w:r w:rsidRPr="00BE76F4">
        <w:t xml:space="preserve"> standards of leadership and fostering a culture which is inclusive. These themes are:</w:t>
      </w:r>
    </w:p>
    <w:p w14:paraId="38F805D5" w14:textId="6A2A7D18" w:rsidR="00BE76F4" w:rsidRPr="00BE76F4" w:rsidRDefault="00BE76F4" w:rsidP="00D33A29">
      <w:pPr>
        <w:pStyle w:val="ListParagraph"/>
        <w:numPr>
          <w:ilvl w:val="0"/>
          <w:numId w:val="48"/>
        </w:numPr>
      </w:pPr>
      <w:r w:rsidRPr="00BE76F4">
        <w:t>High Performing and flexible workforce</w:t>
      </w:r>
    </w:p>
    <w:p w14:paraId="1E049938" w14:textId="61F11D7A" w:rsidR="00BE76F4" w:rsidRPr="00BE76F4" w:rsidRDefault="00BE76F4" w:rsidP="00D33A29">
      <w:pPr>
        <w:pStyle w:val="ListParagraph"/>
        <w:numPr>
          <w:ilvl w:val="0"/>
          <w:numId w:val="48"/>
        </w:numPr>
      </w:pPr>
      <w:r w:rsidRPr="00BE76F4">
        <w:t xml:space="preserve">Attract, reward and retain </w:t>
      </w:r>
      <w:proofErr w:type="gramStart"/>
      <w:r w:rsidRPr="00BE76F4">
        <w:t>talent</w:t>
      </w:r>
      <w:proofErr w:type="gramEnd"/>
    </w:p>
    <w:p w14:paraId="3176AED8" w14:textId="21240A30" w:rsidR="00BE76F4" w:rsidRPr="00BE76F4" w:rsidRDefault="00BE76F4" w:rsidP="00D33A29">
      <w:pPr>
        <w:pStyle w:val="ListParagraph"/>
        <w:numPr>
          <w:ilvl w:val="0"/>
          <w:numId w:val="48"/>
        </w:numPr>
      </w:pPr>
      <w:r w:rsidRPr="00BE76F4">
        <w:t>Support Development</w:t>
      </w:r>
    </w:p>
    <w:p w14:paraId="311E6278" w14:textId="7F08ECFB" w:rsidR="00BE76F4" w:rsidRPr="00BE76F4" w:rsidRDefault="00BE76F4" w:rsidP="00D33A29">
      <w:pPr>
        <w:pStyle w:val="ListParagraph"/>
        <w:numPr>
          <w:ilvl w:val="0"/>
          <w:numId w:val="48"/>
        </w:numPr>
      </w:pPr>
      <w:r w:rsidRPr="00BE76F4">
        <w:t xml:space="preserve">Create a culture of wellbeing, diversity and </w:t>
      </w:r>
      <w:proofErr w:type="gramStart"/>
      <w:r w:rsidRPr="00BE76F4">
        <w:t>engagement</w:t>
      </w:r>
      <w:proofErr w:type="gramEnd"/>
    </w:p>
    <w:p w14:paraId="75B472CD" w14:textId="6A03E5F3" w:rsidR="00BE76F4" w:rsidRPr="00BE76F4" w:rsidRDefault="00BE76F4" w:rsidP="00D33A29">
      <w:pPr>
        <w:pStyle w:val="ListParagraph"/>
        <w:numPr>
          <w:ilvl w:val="0"/>
          <w:numId w:val="48"/>
        </w:numPr>
      </w:pPr>
      <w:r w:rsidRPr="00BE76F4">
        <w:t xml:space="preserve">Promote, champion and support inspirational </w:t>
      </w:r>
      <w:proofErr w:type="gramStart"/>
      <w:r w:rsidRPr="00BE76F4">
        <w:t>leaders</w:t>
      </w:r>
      <w:proofErr w:type="gramEnd"/>
    </w:p>
    <w:p w14:paraId="26A5212E" w14:textId="45B2E01C" w:rsidR="00BE76F4" w:rsidRPr="00BE76F4" w:rsidRDefault="00BE76F4" w:rsidP="00D33A29">
      <w:pPr>
        <w:pStyle w:val="ListParagraph"/>
        <w:numPr>
          <w:ilvl w:val="0"/>
          <w:numId w:val="48"/>
        </w:numPr>
      </w:pPr>
      <w:r w:rsidRPr="00BE76F4">
        <w:t>People Team transformation</w:t>
      </w:r>
    </w:p>
    <w:p w14:paraId="27F69B2F" w14:textId="137E54AC" w:rsidR="00BE76F4" w:rsidRPr="00BE76F4" w:rsidRDefault="0087025A" w:rsidP="00BE76F4">
      <w:pPr>
        <w:pStyle w:val="ListParagraph"/>
      </w:pPr>
      <w:r>
        <w:t xml:space="preserve"> Equality, </w:t>
      </w:r>
      <w:proofErr w:type="gramStart"/>
      <w:r>
        <w:t>diversity</w:t>
      </w:r>
      <w:proofErr w:type="gramEnd"/>
      <w:r>
        <w:t xml:space="preserve"> and inclusion is implicit in the outcomes </w:t>
      </w:r>
      <w:r w:rsidR="004D511F">
        <w:t xml:space="preserve">being delivered through the People Programme.  </w:t>
      </w:r>
      <w:r w:rsidR="00C71C23">
        <w:t xml:space="preserve">Each of the actions identified as a mitigation to workforce sustainability are </w:t>
      </w:r>
      <w:r w:rsidR="003F4754">
        <w:t xml:space="preserve">included in the People Programme. </w:t>
      </w:r>
      <w:r w:rsidR="00A926EF">
        <w:t xml:space="preserve">Every activity undertaken </w:t>
      </w:r>
      <w:r w:rsidR="004410E9">
        <w:t>is designed to</w:t>
      </w:r>
      <w:r w:rsidR="00BD4A42">
        <w:t xml:space="preserve"> </w:t>
      </w:r>
      <w:r w:rsidR="00ED7D2B">
        <w:t xml:space="preserve">improve </w:t>
      </w:r>
      <w:r w:rsidR="005B7677">
        <w:t>equ</w:t>
      </w:r>
      <w:r w:rsidR="00D713CA">
        <w:t xml:space="preserve">ality, </w:t>
      </w:r>
      <w:proofErr w:type="gramStart"/>
      <w:r w:rsidR="00D713CA">
        <w:t>diversity</w:t>
      </w:r>
      <w:proofErr w:type="gramEnd"/>
      <w:r w:rsidR="00D713CA">
        <w:t xml:space="preserve"> and inclusion particularly by ensuring</w:t>
      </w:r>
      <w:r w:rsidR="00BD4A42">
        <w:t>:</w:t>
      </w:r>
    </w:p>
    <w:p w14:paraId="613BE104" w14:textId="0607BB93" w:rsidR="00197EC8" w:rsidRDefault="00197EC8" w:rsidP="00BD4A42">
      <w:pPr>
        <w:pStyle w:val="ListParagraph"/>
        <w:numPr>
          <w:ilvl w:val="0"/>
          <w:numId w:val="49"/>
        </w:numPr>
      </w:pPr>
      <w:r>
        <w:t>A reward package that is equitable and fair</w:t>
      </w:r>
    </w:p>
    <w:p w14:paraId="3AAC19C4" w14:textId="067F6B16" w:rsidR="00BE76F4" w:rsidRPr="00BE76F4" w:rsidRDefault="00BD4A42" w:rsidP="00BD4A42">
      <w:pPr>
        <w:pStyle w:val="ListParagraph"/>
        <w:numPr>
          <w:ilvl w:val="0"/>
          <w:numId w:val="49"/>
        </w:numPr>
      </w:pPr>
      <w:r>
        <w:t>Inclusive r</w:t>
      </w:r>
      <w:r w:rsidR="00BE76F4" w:rsidRPr="00BE76F4">
        <w:t>ecruitment and retention of talented and experienced people</w:t>
      </w:r>
    </w:p>
    <w:p w14:paraId="776536D0" w14:textId="4FE20A4D" w:rsidR="00BE76F4" w:rsidRPr="00BE76F4" w:rsidRDefault="005E2E14" w:rsidP="00BD4A42">
      <w:pPr>
        <w:pStyle w:val="ListParagraph"/>
        <w:numPr>
          <w:ilvl w:val="0"/>
          <w:numId w:val="49"/>
        </w:numPr>
      </w:pPr>
      <w:r>
        <w:t xml:space="preserve">Leadership and development </w:t>
      </w:r>
      <w:r w:rsidR="00C36176">
        <w:t xml:space="preserve">that </w:t>
      </w:r>
      <w:r w:rsidR="00BE76F4" w:rsidRPr="00BE76F4">
        <w:t>build</w:t>
      </w:r>
      <w:r w:rsidR="00C36176">
        <w:t>s</w:t>
      </w:r>
      <w:r w:rsidR="00BE76F4" w:rsidRPr="00BE76F4">
        <w:t xml:space="preserve"> an inclusive and high-performing </w:t>
      </w:r>
      <w:proofErr w:type="gramStart"/>
      <w:r w:rsidR="00BE76F4" w:rsidRPr="00BE76F4">
        <w:t>organisation</w:t>
      </w:r>
      <w:proofErr w:type="gramEnd"/>
    </w:p>
    <w:p w14:paraId="28C83AF6" w14:textId="0E7EE040" w:rsidR="00BE76F4" w:rsidRDefault="00BE76F4" w:rsidP="00BD4A42">
      <w:pPr>
        <w:pStyle w:val="ListParagraph"/>
        <w:numPr>
          <w:ilvl w:val="0"/>
          <w:numId w:val="49"/>
        </w:numPr>
      </w:pPr>
      <w:r w:rsidRPr="00BE76F4">
        <w:t>Excellence in basic people service delivery</w:t>
      </w:r>
    </w:p>
    <w:p w14:paraId="3A610C97" w14:textId="4A911129" w:rsidR="009A601D" w:rsidRDefault="009A601D" w:rsidP="00BD4A42">
      <w:pPr>
        <w:pStyle w:val="ListParagraph"/>
        <w:numPr>
          <w:ilvl w:val="0"/>
          <w:numId w:val="49"/>
        </w:numPr>
      </w:pPr>
      <w:r>
        <w:t xml:space="preserve">An engaging communications approach </w:t>
      </w:r>
      <w:r w:rsidR="002D3C9D">
        <w:t>to ensure the organisation understands and can participate in the People Programme.</w:t>
      </w:r>
    </w:p>
    <w:p w14:paraId="32C5A031" w14:textId="77777777" w:rsidR="00D713CA" w:rsidRDefault="00D713CA" w:rsidP="00E75CF2">
      <w:pPr>
        <w:ind w:left="142"/>
        <w:rPr>
          <w:b/>
          <w:bCs/>
        </w:rPr>
      </w:pPr>
    </w:p>
    <w:p w14:paraId="5B6F542D" w14:textId="4241037E" w:rsidR="00E75CF2" w:rsidRDefault="00E75CF2" w:rsidP="00146751">
      <w:pPr>
        <w:ind w:left="142"/>
      </w:pPr>
      <w:r w:rsidRPr="00E75CF2">
        <w:rPr>
          <w:b/>
          <w:bCs/>
        </w:rPr>
        <w:t xml:space="preserve">Carbon and Environmental Considerations </w:t>
      </w:r>
      <w:r w:rsidR="0086105C" w:rsidRPr="0086105C">
        <w:t xml:space="preserve">  </w:t>
      </w:r>
    </w:p>
    <w:p w14:paraId="208D37B0" w14:textId="0BE14060" w:rsidR="00F23CD7" w:rsidRPr="0086105C" w:rsidRDefault="0086105C" w:rsidP="008D67BC">
      <w:pPr>
        <w:pStyle w:val="ListParagraph"/>
      </w:pPr>
      <w:r w:rsidRPr="0086105C">
        <w:t xml:space="preserve">There are no specific impacts directly from this report. </w:t>
      </w:r>
    </w:p>
    <w:p w14:paraId="718E0BEE" w14:textId="77777777" w:rsidR="002329CF" w:rsidRPr="001356F1" w:rsidRDefault="002329CF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14:paraId="0B9442E5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16C9967" w14:textId="77777777"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45ECA4" w14:textId="0E79D3F6" w:rsidR="00E87F7A" w:rsidRPr="001356F1" w:rsidRDefault="001F5ECD" w:rsidP="00A46E98">
            <w:r>
              <w:t>Helen Bishop</w:t>
            </w:r>
          </w:p>
        </w:tc>
      </w:tr>
      <w:tr w:rsidR="00DF093E" w:rsidRPr="001356F1" w14:paraId="473F9185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51D713A5" w14:textId="77777777"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3199395" w14:textId="54124C2D" w:rsidR="00E87F7A" w:rsidRPr="001356F1" w:rsidRDefault="001F5ECD" w:rsidP="00A46E98">
            <w:r>
              <w:t>Head of Business Improvement</w:t>
            </w:r>
          </w:p>
        </w:tc>
      </w:tr>
      <w:tr w:rsidR="00DF093E" w:rsidRPr="001356F1" w14:paraId="377E7B31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CBE85B6" w14:textId="77777777"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41C949F" w14:textId="5713E5C3" w:rsidR="00E87F7A" w:rsidRPr="001356F1" w:rsidRDefault="001F5ECD" w:rsidP="00A46E98">
            <w:r>
              <w:t>Business Improvement</w:t>
            </w:r>
          </w:p>
        </w:tc>
      </w:tr>
      <w:tr w:rsidR="00DF093E" w:rsidRPr="001356F1" w14:paraId="347BDD90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A48E211" w14:textId="77777777"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91562CB" w14:textId="3ED08D34" w:rsidR="00E87F7A" w:rsidRPr="001356F1" w:rsidRDefault="00E87F7A" w:rsidP="00A46E98">
            <w:r w:rsidRPr="001356F1">
              <w:t xml:space="preserve">01865 </w:t>
            </w:r>
            <w:r w:rsidR="001F5ECD">
              <w:t>252</w:t>
            </w:r>
            <w:r w:rsidR="0092516A">
              <w:t>233</w:t>
            </w:r>
            <w:r w:rsidRPr="001356F1">
              <w:t xml:space="preserve"> </w:t>
            </w:r>
          </w:p>
        </w:tc>
      </w:tr>
      <w:tr w:rsidR="005570B5" w:rsidRPr="001356F1" w14:paraId="1ADB540F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EEFB2A9" w14:textId="77777777"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A5AC9A" w14:textId="74BF6350" w:rsidR="00E87F7A" w:rsidRPr="001356F1" w:rsidRDefault="0092516A" w:rsidP="00A46E98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hbishop@</w:t>
            </w:r>
            <w:proofErr w:type="gramStart"/>
            <w:r>
              <w:rPr>
                <w:rStyle w:val="Hyperlink"/>
                <w:color w:val="000000"/>
              </w:rPr>
              <w:t>oxford,gov.uk</w:t>
            </w:r>
            <w:proofErr w:type="gramEnd"/>
          </w:p>
        </w:tc>
      </w:tr>
    </w:tbl>
    <w:p w14:paraId="3DBA0ED0" w14:textId="77777777" w:rsidR="00146751" w:rsidRPr="001356F1" w:rsidRDefault="00146751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1356F1" w14:paraId="275379CD" w14:textId="77777777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7670C66" w14:textId="77777777"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</w:tbl>
    <w:p w14:paraId="3B22EE13" w14:textId="77777777" w:rsidR="00C837A0" w:rsidRPr="00C53B7C" w:rsidRDefault="00C837A0" w:rsidP="00146751">
      <w:pPr>
        <w:rPr>
          <w:b/>
          <w:bCs/>
        </w:rPr>
      </w:pPr>
    </w:p>
    <w:sectPr w:rsidR="00C837A0" w:rsidRPr="00C53B7C" w:rsidSect="00E315D7">
      <w:footerReference w:type="even" r:id="rId11"/>
      <w:headerReference w:type="first" r:id="rId12"/>
      <w:footerReference w:type="first" r:id="rId13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E345" w14:textId="77777777" w:rsidR="008E438E" w:rsidRDefault="008E438E" w:rsidP="004A6D2F">
      <w:r>
        <w:separator/>
      </w:r>
    </w:p>
  </w:endnote>
  <w:endnote w:type="continuationSeparator" w:id="0">
    <w:p w14:paraId="74F539C4" w14:textId="77777777" w:rsidR="008E438E" w:rsidRDefault="008E438E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B6B2" w14:textId="77777777" w:rsidR="00364FAD" w:rsidRDefault="00364FAD" w:rsidP="004A6D2F">
    <w:pPr>
      <w:pStyle w:val="Footer"/>
    </w:pPr>
    <w:r>
      <w:t>Do not use a footer or page numbers.</w:t>
    </w:r>
  </w:p>
  <w:p w14:paraId="3437B284" w14:textId="77777777" w:rsidR="00364FAD" w:rsidRDefault="00364FAD" w:rsidP="004A6D2F">
    <w:pPr>
      <w:pStyle w:val="Footer"/>
    </w:pPr>
  </w:p>
  <w:p w14:paraId="57C8425A" w14:textId="77777777"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DBF0" w14:textId="77777777" w:rsidR="004B11AE" w:rsidRDefault="004B11AE" w:rsidP="004B11AE">
    <w:pPr>
      <w:pStyle w:val="Footer"/>
      <w:rPr>
        <w:sz w:val="16"/>
        <w:szCs w:val="16"/>
      </w:rPr>
    </w:pPr>
    <w:r>
      <w:rPr>
        <w:sz w:val="16"/>
        <w:szCs w:val="16"/>
      </w:rPr>
      <w:t>18 October 2019</w:t>
    </w:r>
  </w:p>
  <w:p w14:paraId="261845BB" w14:textId="77777777"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8CB54" w14:textId="77777777" w:rsidR="008E438E" w:rsidRDefault="008E438E" w:rsidP="004A6D2F">
      <w:r>
        <w:separator/>
      </w:r>
    </w:p>
  </w:footnote>
  <w:footnote w:type="continuationSeparator" w:id="0">
    <w:p w14:paraId="35300745" w14:textId="77777777" w:rsidR="008E438E" w:rsidRDefault="008E438E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D009" w14:textId="77777777" w:rsidR="00D5547E" w:rsidRDefault="00C05260" w:rsidP="00D5547E">
    <w:pPr>
      <w:pStyle w:val="Header"/>
      <w:jc w:val="right"/>
    </w:pPr>
    <w:r>
      <w:rPr>
        <w:noProof/>
      </w:rPr>
      <w:drawing>
        <wp:inline distT="0" distB="0" distL="0" distR="0" wp14:anchorId="13CF9C92" wp14:editId="1EB63AE6">
          <wp:extent cx="838200" cy="1119505"/>
          <wp:effectExtent l="0" t="0" r="0" b="4445"/>
          <wp:docPr id="2" name="Picture 2" title="Oxford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E2FA8"/>
    <w:multiLevelType w:val="hybridMultilevel"/>
    <w:tmpl w:val="DBAE2E1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C05EF"/>
    <w:multiLevelType w:val="multilevel"/>
    <w:tmpl w:val="43D6D2FA"/>
    <w:numStyleLink w:val="StyleBulletedSymbolsymbolLeft063cmHanging063cm"/>
  </w:abstractNum>
  <w:abstractNum w:abstractNumId="14" w15:restartNumberingAfterBreak="0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F926D7"/>
    <w:multiLevelType w:val="hybridMultilevel"/>
    <w:tmpl w:val="5C8E2BB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FA7902"/>
    <w:multiLevelType w:val="hybridMultilevel"/>
    <w:tmpl w:val="FD70442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263A6A"/>
    <w:multiLevelType w:val="multilevel"/>
    <w:tmpl w:val="43D6D2FA"/>
    <w:numStyleLink w:val="StyleBulletedSymbolsymbolLeft063cmHanging063cm"/>
  </w:abstractNum>
  <w:abstractNum w:abstractNumId="21" w15:restartNumberingAfterBreak="0">
    <w:nsid w:val="242A24EA"/>
    <w:multiLevelType w:val="hybridMultilevel"/>
    <w:tmpl w:val="9BD6E80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9E97A86"/>
    <w:multiLevelType w:val="hybridMultilevel"/>
    <w:tmpl w:val="5AF861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D48CC"/>
    <w:multiLevelType w:val="hybridMultilevel"/>
    <w:tmpl w:val="027CC4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55F16"/>
    <w:multiLevelType w:val="hybridMultilevel"/>
    <w:tmpl w:val="2D6E2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6C3D15"/>
    <w:multiLevelType w:val="hybridMultilevel"/>
    <w:tmpl w:val="0C28996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035F46"/>
    <w:multiLevelType w:val="hybridMultilevel"/>
    <w:tmpl w:val="A5C4B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E85C68"/>
    <w:multiLevelType w:val="hybridMultilevel"/>
    <w:tmpl w:val="7EAAB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513961"/>
    <w:multiLevelType w:val="multilevel"/>
    <w:tmpl w:val="DF72A3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BA5FD8"/>
    <w:multiLevelType w:val="multilevel"/>
    <w:tmpl w:val="43D6D2FA"/>
    <w:numStyleLink w:val="StyleBulletedSymbolsymbolLeft063cmHanging063cm"/>
  </w:abstractNum>
  <w:abstractNum w:abstractNumId="38" w15:restartNumberingAfterBreak="0">
    <w:nsid w:val="5AE0179E"/>
    <w:multiLevelType w:val="hybridMultilevel"/>
    <w:tmpl w:val="9788D284"/>
    <w:lvl w:ilvl="0" w:tplc="D0C0EB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026698"/>
    <w:multiLevelType w:val="hybridMultilevel"/>
    <w:tmpl w:val="68842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A22831"/>
    <w:multiLevelType w:val="multilevel"/>
    <w:tmpl w:val="43D6D2FA"/>
    <w:numStyleLink w:val="StyleBulletedSymbolsymbolLeft063cmHanging063cm"/>
  </w:abstractNum>
  <w:abstractNum w:abstractNumId="42" w15:restartNumberingAfterBreak="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277A21"/>
    <w:multiLevelType w:val="multilevel"/>
    <w:tmpl w:val="446093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B15BAF"/>
    <w:multiLevelType w:val="hybridMultilevel"/>
    <w:tmpl w:val="93AE1D9E"/>
    <w:lvl w:ilvl="0" w:tplc="08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46" w15:restartNumberingAfterBreak="0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8365C6"/>
    <w:multiLevelType w:val="multilevel"/>
    <w:tmpl w:val="E67CE66C"/>
    <w:lvl w:ilvl="0">
      <w:start w:val="1"/>
      <w:numFmt w:val="decimal"/>
      <w:pStyle w:val="ListParagraph"/>
      <w:lvlText w:val="%1."/>
      <w:lvlJc w:val="left"/>
      <w:pPr>
        <w:ind w:left="502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B23AE0"/>
    <w:multiLevelType w:val="hybridMultilevel"/>
    <w:tmpl w:val="C88C4D6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86038957">
    <w:abstractNumId w:val="34"/>
  </w:num>
  <w:num w:numId="2" w16cid:durableId="1272398585">
    <w:abstractNumId w:val="43"/>
  </w:num>
  <w:num w:numId="3" w16cid:durableId="1460997740">
    <w:abstractNumId w:val="29"/>
  </w:num>
  <w:num w:numId="4" w16cid:durableId="1589071687">
    <w:abstractNumId w:val="23"/>
  </w:num>
  <w:num w:numId="5" w16cid:durableId="1297102098">
    <w:abstractNumId w:val="39"/>
  </w:num>
  <w:num w:numId="6" w16cid:durableId="2055420129">
    <w:abstractNumId w:val="46"/>
  </w:num>
  <w:num w:numId="7" w16cid:durableId="1006205902">
    <w:abstractNumId w:val="28"/>
  </w:num>
  <w:num w:numId="8" w16cid:durableId="101075712">
    <w:abstractNumId w:val="25"/>
  </w:num>
  <w:num w:numId="9" w16cid:durableId="326859064">
    <w:abstractNumId w:val="14"/>
  </w:num>
  <w:num w:numId="10" w16cid:durableId="167721045">
    <w:abstractNumId w:val="18"/>
  </w:num>
  <w:num w:numId="11" w16cid:durableId="291906719">
    <w:abstractNumId w:val="32"/>
  </w:num>
  <w:num w:numId="12" w16cid:durableId="1425615286">
    <w:abstractNumId w:val="30"/>
  </w:num>
  <w:num w:numId="13" w16cid:durableId="715932123">
    <w:abstractNumId w:val="11"/>
  </w:num>
  <w:num w:numId="14" w16cid:durableId="1792817085">
    <w:abstractNumId w:val="47"/>
  </w:num>
  <w:num w:numId="15" w16cid:durableId="1167986763">
    <w:abstractNumId w:val="19"/>
  </w:num>
  <w:num w:numId="16" w16cid:durableId="1854420692">
    <w:abstractNumId w:val="12"/>
  </w:num>
  <w:num w:numId="17" w16cid:durableId="903376189">
    <w:abstractNumId w:val="37"/>
  </w:num>
  <w:num w:numId="18" w16cid:durableId="1302735083">
    <w:abstractNumId w:val="13"/>
  </w:num>
  <w:num w:numId="19" w16cid:durableId="678822224">
    <w:abstractNumId w:val="41"/>
  </w:num>
  <w:num w:numId="20" w16cid:durableId="475998854">
    <w:abstractNumId w:val="20"/>
  </w:num>
  <w:num w:numId="21" w16cid:durableId="1300377776">
    <w:abstractNumId w:val="27"/>
  </w:num>
  <w:num w:numId="22" w16cid:durableId="889420808">
    <w:abstractNumId w:val="15"/>
  </w:num>
  <w:num w:numId="23" w16cid:durableId="821238374">
    <w:abstractNumId w:val="42"/>
  </w:num>
  <w:num w:numId="24" w16cid:durableId="623923915">
    <w:abstractNumId w:val="9"/>
  </w:num>
  <w:num w:numId="25" w16cid:durableId="330061919">
    <w:abstractNumId w:val="8"/>
  </w:num>
  <w:num w:numId="26" w16cid:durableId="231474635">
    <w:abstractNumId w:val="7"/>
  </w:num>
  <w:num w:numId="27" w16cid:durableId="2077360422">
    <w:abstractNumId w:val="6"/>
  </w:num>
  <w:num w:numId="28" w16cid:durableId="651569063">
    <w:abstractNumId w:val="5"/>
  </w:num>
  <w:num w:numId="29" w16cid:durableId="123082200">
    <w:abstractNumId w:val="4"/>
  </w:num>
  <w:num w:numId="30" w16cid:durableId="523831327">
    <w:abstractNumId w:val="3"/>
  </w:num>
  <w:num w:numId="31" w16cid:durableId="151679978">
    <w:abstractNumId w:val="2"/>
  </w:num>
  <w:num w:numId="32" w16cid:durableId="489371007">
    <w:abstractNumId w:val="1"/>
  </w:num>
  <w:num w:numId="33" w16cid:durableId="994605647">
    <w:abstractNumId w:val="0"/>
  </w:num>
  <w:num w:numId="34" w16cid:durableId="602222188">
    <w:abstractNumId w:val="31"/>
  </w:num>
  <w:num w:numId="35" w16cid:durableId="1205364481">
    <w:abstractNumId w:val="10"/>
  </w:num>
  <w:num w:numId="36" w16cid:durableId="644506575">
    <w:abstractNumId w:val="21"/>
  </w:num>
  <w:num w:numId="37" w16cid:durableId="1136144818">
    <w:abstractNumId w:val="17"/>
  </w:num>
  <w:num w:numId="38" w16cid:durableId="315112096">
    <w:abstractNumId w:val="45"/>
  </w:num>
  <w:num w:numId="39" w16cid:durableId="1104419877">
    <w:abstractNumId w:val="16"/>
  </w:num>
  <w:num w:numId="40" w16cid:durableId="501508104">
    <w:abstractNumId w:val="48"/>
  </w:num>
  <w:num w:numId="41" w16cid:durableId="2035810359">
    <w:abstractNumId w:val="26"/>
  </w:num>
  <w:num w:numId="42" w16cid:durableId="473988989">
    <w:abstractNumId w:val="22"/>
  </w:num>
  <w:num w:numId="43" w16cid:durableId="1569684330">
    <w:abstractNumId w:val="33"/>
  </w:num>
  <w:num w:numId="44" w16cid:durableId="663508459">
    <w:abstractNumId w:val="35"/>
  </w:num>
  <w:num w:numId="45" w16cid:durableId="825170325">
    <w:abstractNumId w:val="24"/>
  </w:num>
  <w:num w:numId="46" w16cid:durableId="1803888331">
    <w:abstractNumId w:val="38"/>
  </w:num>
  <w:num w:numId="47" w16cid:durableId="1388843147">
    <w:abstractNumId w:val="40"/>
  </w:num>
  <w:num w:numId="48" w16cid:durableId="1066881746">
    <w:abstractNumId w:val="44"/>
  </w:num>
  <w:num w:numId="49" w16cid:durableId="1448158182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B71"/>
    <w:rsid w:val="00003362"/>
    <w:rsid w:val="00005881"/>
    <w:rsid w:val="000117D4"/>
    <w:rsid w:val="000129D1"/>
    <w:rsid w:val="0002215D"/>
    <w:rsid w:val="000314D7"/>
    <w:rsid w:val="00034054"/>
    <w:rsid w:val="00045F8B"/>
    <w:rsid w:val="00046D2B"/>
    <w:rsid w:val="00056263"/>
    <w:rsid w:val="00064D8A"/>
    <w:rsid w:val="00064F82"/>
    <w:rsid w:val="00066510"/>
    <w:rsid w:val="00074D54"/>
    <w:rsid w:val="00077523"/>
    <w:rsid w:val="00086AE4"/>
    <w:rsid w:val="00096C69"/>
    <w:rsid w:val="000B1DFC"/>
    <w:rsid w:val="000C089F"/>
    <w:rsid w:val="000C3928"/>
    <w:rsid w:val="000C5E8E"/>
    <w:rsid w:val="000E2054"/>
    <w:rsid w:val="000E5189"/>
    <w:rsid w:val="000F4751"/>
    <w:rsid w:val="000F4BFF"/>
    <w:rsid w:val="000F72E9"/>
    <w:rsid w:val="0010524C"/>
    <w:rsid w:val="00111FB1"/>
    <w:rsid w:val="00113418"/>
    <w:rsid w:val="001167B0"/>
    <w:rsid w:val="001356F1"/>
    <w:rsid w:val="00136994"/>
    <w:rsid w:val="0014128E"/>
    <w:rsid w:val="00141658"/>
    <w:rsid w:val="0014411B"/>
    <w:rsid w:val="00146751"/>
    <w:rsid w:val="00151888"/>
    <w:rsid w:val="00160B78"/>
    <w:rsid w:val="00170A2D"/>
    <w:rsid w:val="001738F5"/>
    <w:rsid w:val="001808BC"/>
    <w:rsid w:val="0018207C"/>
    <w:rsid w:val="00182B81"/>
    <w:rsid w:val="0018619D"/>
    <w:rsid w:val="001876CF"/>
    <w:rsid w:val="00191CB4"/>
    <w:rsid w:val="00197EC8"/>
    <w:rsid w:val="001A011E"/>
    <w:rsid w:val="001A066A"/>
    <w:rsid w:val="001A13E6"/>
    <w:rsid w:val="001A5731"/>
    <w:rsid w:val="001B42C3"/>
    <w:rsid w:val="001B7718"/>
    <w:rsid w:val="001C1558"/>
    <w:rsid w:val="001C5D5E"/>
    <w:rsid w:val="001D53AE"/>
    <w:rsid w:val="001D678D"/>
    <w:rsid w:val="001D68CF"/>
    <w:rsid w:val="001E03F8"/>
    <w:rsid w:val="001E1678"/>
    <w:rsid w:val="001E3376"/>
    <w:rsid w:val="001F5ECD"/>
    <w:rsid w:val="001F7452"/>
    <w:rsid w:val="002069B3"/>
    <w:rsid w:val="00213B7B"/>
    <w:rsid w:val="0021586F"/>
    <w:rsid w:val="00224646"/>
    <w:rsid w:val="002329CF"/>
    <w:rsid w:val="00232F5B"/>
    <w:rsid w:val="002465F0"/>
    <w:rsid w:val="00247C29"/>
    <w:rsid w:val="00250CAE"/>
    <w:rsid w:val="00256602"/>
    <w:rsid w:val="00260467"/>
    <w:rsid w:val="00263EA3"/>
    <w:rsid w:val="00284AF1"/>
    <w:rsid w:val="00284F85"/>
    <w:rsid w:val="002870C3"/>
    <w:rsid w:val="00290915"/>
    <w:rsid w:val="0029534C"/>
    <w:rsid w:val="002A22E2"/>
    <w:rsid w:val="002B6836"/>
    <w:rsid w:val="002C64F7"/>
    <w:rsid w:val="002D1353"/>
    <w:rsid w:val="002D1DCB"/>
    <w:rsid w:val="002D2B45"/>
    <w:rsid w:val="002D3C9D"/>
    <w:rsid w:val="002F41F2"/>
    <w:rsid w:val="00301BF3"/>
    <w:rsid w:val="0030208D"/>
    <w:rsid w:val="00310737"/>
    <w:rsid w:val="003131E9"/>
    <w:rsid w:val="00315481"/>
    <w:rsid w:val="00316004"/>
    <w:rsid w:val="0032334A"/>
    <w:rsid w:val="00323418"/>
    <w:rsid w:val="003261FD"/>
    <w:rsid w:val="003357BF"/>
    <w:rsid w:val="0034269A"/>
    <w:rsid w:val="00362695"/>
    <w:rsid w:val="00364FAD"/>
    <w:rsid w:val="00365437"/>
    <w:rsid w:val="0036738F"/>
    <w:rsid w:val="0036759C"/>
    <w:rsid w:val="00367AE5"/>
    <w:rsid w:val="00367D71"/>
    <w:rsid w:val="0038150A"/>
    <w:rsid w:val="003B6E75"/>
    <w:rsid w:val="003B7DA1"/>
    <w:rsid w:val="003C288B"/>
    <w:rsid w:val="003D0379"/>
    <w:rsid w:val="003D2574"/>
    <w:rsid w:val="003D4C59"/>
    <w:rsid w:val="003D4FBF"/>
    <w:rsid w:val="003F4267"/>
    <w:rsid w:val="003F4754"/>
    <w:rsid w:val="003F64EA"/>
    <w:rsid w:val="00404032"/>
    <w:rsid w:val="00405D48"/>
    <w:rsid w:val="0040736F"/>
    <w:rsid w:val="00412C1F"/>
    <w:rsid w:val="00421CB2"/>
    <w:rsid w:val="004268B9"/>
    <w:rsid w:val="004315AE"/>
    <w:rsid w:val="00433B96"/>
    <w:rsid w:val="004410E9"/>
    <w:rsid w:val="004440F1"/>
    <w:rsid w:val="00444DD4"/>
    <w:rsid w:val="004456DD"/>
    <w:rsid w:val="00446CDF"/>
    <w:rsid w:val="004521B7"/>
    <w:rsid w:val="00453CC3"/>
    <w:rsid w:val="004548E0"/>
    <w:rsid w:val="00462AB5"/>
    <w:rsid w:val="00465EAF"/>
    <w:rsid w:val="00467C59"/>
    <w:rsid w:val="00472CED"/>
    <w:rsid w:val="004738C5"/>
    <w:rsid w:val="0047737B"/>
    <w:rsid w:val="00480E85"/>
    <w:rsid w:val="00491046"/>
    <w:rsid w:val="00496078"/>
    <w:rsid w:val="004A1B20"/>
    <w:rsid w:val="004A2AC7"/>
    <w:rsid w:val="004A6D2F"/>
    <w:rsid w:val="004B11AE"/>
    <w:rsid w:val="004C2887"/>
    <w:rsid w:val="004D2626"/>
    <w:rsid w:val="004D511F"/>
    <w:rsid w:val="004D6E26"/>
    <w:rsid w:val="004D77D3"/>
    <w:rsid w:val="004E2959"/>
    <w:rsid w:val="004F14FE"/>
    <w:rsid w:val="004F19A1"/>
    <w:rsid w:val="004F20EF"/>
    <w:rsid w:val="004F76E2"/>
    <w:rsid w:val="0050321C"/>
    <w:rsid w:val="00504237"/>
    <w:rsid w:val="00507ECC"/>
    <w:rsid w:val="00516064"/>
    <w:rsid w:val="00520DB4"/>
    <w:rsid w:val="0054712D"/>
    <w:rsid w:val="00547EF6"/>
    <w:rsid w:val="00551639"/>
    <w:rsid w:val="005570B5"/>
    <w:rsid w:val="00565574"/>
    <w:rsid w:val="00567E18"/>
    <w:rsid w:val="00575F5F"/>
    <w:rsid w:val="00581805"/>
    <w:rsid w:val="00585F76"/>
    <w:rsid w:val="0059086B"/>
    <w:rsid w:val="005A34E4"/>
    <w:rsid w:val="005A3C0B"/>
    <w:rsid w:val="005A6610"/>
    <w:rsid w:val="005B17F2"/>
    <w:rsid w:val="005B3747"/>
    <w:rsid w:val="005B7677"/>
    <w:rsid w:val="005B7FB0"/>
    <w:rsid w:val="005C32D7"/>
    <w:rsid w:val="005C35A5"/>
    <w:rsid w:val="005C577C"/>
    <w:rsid w:val="005D0621"/>
    <w:rsid w:val="005D1E27"/>
    <w:rsid w:val="005D2A3E"/>
    <w:rsid w:val="005D728E"/>
    <w:rsid w:val="005D7547"/>
    <w:rsid w:val="005E022E"/>
    <w:rsid w:val="005E2E14"/>
    <w:rsid w:val="005E5215"/>
    <w:rsid w:val="005F3900"/>
    <w:rsid w:val="005F7F7E"/>
    <w:rsid w:val="00614693"/>
    <w:rsid w:val="00614C69"/>
    <w:rsid w:val="00623C2F"/>
    <w:rsid w:val="00633578"/>
    <w:rsid w:val="00637068"/>
    <w:rsid w:val="006460DA"/>
    <w:rsid w:val="00650811"/>
    <w:rsid w:val="006509EE"/>
    <w:rsid w:val="006541AE"/>
    <w:rsid w:val="00655D7E"/>
    <w:rsid w:val="00656F00"/>
    <w:rsid w:val="00661D3E"/>
    <w:rsid w:val="006649CF"/>
    <w:rsid w:val="0067340D"/>
    <w:rsid w:val="0068342E"/>
    <w:rsid w:val="00692627"/>
    <w:rsid w:val="006969E7"/>
    <w:rsid w:val="006A155F"/>
    <w:rsid w:val="006A3643"/>
    <w:rsid w:val="006B10C2"/>
    <w:rsid w:val="006B4878"/>
    <w:rsid w:val="006C2A29"/>
    <w:rsid w:val="006C64CF"/>
    <w:rsid w:val="006C66F9"/>
    <w:rsid w:val="006C6D1A"/>
    <w:rsid w:val="006D17B1"/>
    <w:rsid w:val="006D4752"/>
    <w:rsid w:val="006D708A"/>
    <w:rsid w:val="006E14C1"/>
    <w:rsid w:val="006F0292"/>
    <w:rsid w:val="006F2750"/>
    <w:rsid w:val="006F27FA"/>
    <w:rsid w:val="006F335C"/>
    <w:rsid w:val="006F416B"/>
    <w:rsid w:val="006F519B"/>
    <w:rsid w:val="00713675"/>
    <w:rsid w:val="00715823"/>
    <w:rsid w:val="007253EF"/>
    <w:rsid w:val="00736E90"/>
    <w:rsid w:val="00737B93"/>
    <w:rsid w:val="00745BF0"/>
    <w:rsid w:val="00751EA3"/>
    <w:rsid w:val="007615FE"/>
    <w:rsid w:val="0076655C"/>
    <w:rsid w:val="00766C00"/>
    <w:rsid w:val="007676B1"/>
    <w:rsid w:val="007738B0"/>
    <w:rsid w:val="007742DC"/>
    <w:rsid w:val="007802FA"/>
    <w:rsid w:val="00791437"/>
    <w:rsid w:val="00793A37"/>
    <w:rsid w:val="007B0C2C"/>
    <w:rsid w:val="007B278E"/>
    <w:rsid w:val="007B5CA2"/>
    <w:rsid w:val="007B6064"/>
    <w:rsid w:val="007C5C23"/>
    <w:rsid w:val="007D5D88"/>
    <w:rsid w:val="007E2A26"/>
    <w:rsid w:val="007F174D"/>
    <w:rsid w:val="007F2348"/>
    <w:rsid w:val="007F3A17"/>
    <w:rsid w:val="007F4757"/>
    <w:rsid w:val="00803F07"/>
    <w:rsid w:val="008057F1"/>
    <w:rsid w:val="0080749A"/>
    <w:rsid w:val="00821FB8"/>
    <w:rsid w:val="00822ACD"/>
    <w:rsid w:val="00834D91"/>
    <w:rsid w:val="00855C66"/>
    <w:rsid w:val="0086105C"/>
    <w:rsid w:val="00865342"/>
    <w:rsid w:val="0087025A"/>
    <w:rsid w:val="00870A5D"/>
    <w:rsid w:val="00871EE4"/>
    <w:rsid w:val="008757C0"/>
    <w:rsid w:val="008831DE"/>
    <w:rsid w:val="00886A94"/>
    <w:rsid w:val="008954DF"/>
    <w:rsid w:val="008963F0"/>
    <w:rsid w:val="008B293F"/>
    <w:rsid w:val="008B7371"/>
    <w:rsid w:val="008C6E56"/>
    <w:rsid w:val="008D228B"/>
    <w:rsid w:val="008D3DDB"/>
    <w:rsid w:val="008D67BC"/>
    <w:rsid w:val="008D7C84"/>
    <w:rsid w:val="008E438E"/>
    <w:rsid w:val="008E4AE2"/>
    <w:rsid w:val="008F32A5"/>
    <w:rsid w:val="008F3B04"/>
    <w:rsid w:val="008F573F"/>
    <w:rsid w:val="00902C11"/>
    <w:rsid w:val="009034EC"/>
    <w:rsid w:val="009118D3"/>
    <w:rsid w:val="0092516A"/>
    <w:rsid w:val="00925807"/>
    <w:rsid w:val="0093067A"/>
    <w:rsid w:val="009348F7"/>
    <w:rsid w:val="00941C60"/>
    <w:rsid w:val="00941FD1"/>
    <w:rsid w:val="00950824"/>
    <w:rsid w:val="00965427"/>
    <w:rsid w:val="00966D42"/>
    <w:rsid w:val="00971689"/>
    <w:rsid w:val="0097170F"/>
    <w:rsid w:val="00973E90"/>
    <w:rsid w:val="00975B07"/>
    <w:rsid w:val="00980B4A"/>
    <w:rsid w:val="00980CB5"/>
    <w:rsid w:val="009A601D"/>
    <w:rsid w:val="009B3E8A"/>
    <w:rsid w:val="009C48DE"/>
    <w:rsid w:val="009D1EFE"/>
    <w:rsid w:val="009E3D0A"/>
    <w:rsid w:val="009E51FC"/>
    <w:rsid w:val="009F1D28"/>
    <w:rsid w:val="009F7618"/>
    <w:rsid w:val="00A02696"/>
    <w:rsid w:val="00A03206"/>
    <w:rsid w:val="00A04D23"/>
    <w:rsid w:val="00A06766"/>
    <w:rsid w:val="00A0708B"/>
    <w:rsid w:val="00A1158C"/>
    <w:rsid w:val="00A13765"/>
    <w:rsid w:val="00A16CBC"/>
    <w:rsid w:val="00A21B12"/>
    <w:rsid w:val="00A23F80"/>
    <w:rsid w:val="00A46E98"/>
    <w:rsid w:val="00A6352B"/>
    <w:rsid w:val="00A701B5"/>
    <w:rsid w:val="00A714BB"/>
    <w:rsid w:val="00A77147"/>
    <w:rsid w:val="00A80BA6"/>
    <w:rsid w:val="00A86481"/>
    <w:rsid w:val="00A926EF"/>
    <w:rsid w:val="00A92D8F"/>
    <w:rsid w:val="00AA7661"/>
    <w:rsid w:val="00AB2988"/>
    <w:rsid w:val="00AB7999"/>
    <w:rsid w:val="00AC45AA"/>
    <w:rsid w:val="00AD11A7"/>
    <w:rsid w:val="00AD3292"/>
    <w:rsid w:val="00AD32D6"/>
    <w:rsid w:val="00AE1684"/>
    <w:rsid w:val="00AE7AF0"/>
    <w:rsid w:val="00AF0D37"/>
    <w:rsid w:val="00B22864"/>
    <w:rsid w:val="00B373D0"/>
    <w:rsid w:val="00B4023A"/>
    <w:rsid w:val="00B500CA"/>
    <w:rsid w:val="00B6659F"/>
    <w:rsid w:val="00B86314"/>
    <w:rsid w:val="00B94D16"/>
    <w:rsid w:val="00B96CF3"/>
    <w:rsid w:val="00BA1C2E"/>
    <w:rsid w:val="00BA77FC"/>
    <w:rsid w:val="00BB211B"/>
    <w:rsid w:val="00BC200B"/>
    <w:rsid w:val="00BC3395"/>
    <w:rsid w:val="00BC4756"/>
    <w:rsid w:val="00BC69A4"/>
    <w:rsid w:val="00BD2390"/>
    <w:rsid w:val="00BD4A42"/>
    <w:rsid w:val="00BE0680"/>
    <w:rsid w:val="00BE0DA0"/>
    <w:rsid w:val="00BE305F"/>
    <w:rsid w:val="00BE76F4"/>
    <w:rsid w:val="00BE7BA3"/>
    <w:rsid w:val="00BF3076"/>
    <w:rsid w:val="00BF3F96"/>
    <w:rsid w:val="00BF5682"/>
    <w:rsid w:val="00BF7B09"/>
    <w:rsid w:val="00C03528"/>
    <w:rsid w:val="00C03811"/>
    <w:rsid w:val="00C05260"/>
    <w:rsid w:val="00C076B9"/>
    <w:rsid w:val="00C20A95"/>
    <w:rsid w:val="00C21A77"/>
    <w:rsid w:val="00C2692F"/>
    <w:rsid w:val="00C3207C"/>
    <w:rsid w:val="00C36176"/>
    <w:rsid w:val="00C400E1"/>
    <w:rsid w:val="00C40C2C"/>
    <w:rsid w:val="00C41187"/>
    <w:rsid w:val="00C451AD"/>
    <w:rsid w:val="00C53B7C"/>
    <w:rsid w:val="00C54EF4"/>
    <w:rsid w:val="00C601F7"/>
    <w:rsid w:val="00C63C31"/>
    <w:rsid w:val="00C71C23"/>
    <w:rsid w:val="00C74BF0"/>
    <w:rsid w:val="00C74F2C"/>
    <w:rsid w:val="00C757A0"/>
    <w:rsid w:val="00C7591D"/>
    <w:rsid w:val="00C760DE"/>
    <w:rsid w:val="00C80995"/>
    <w:rsid w:val="00C80ECA"/>
    <w:rsid w:val="00C82630"/>
    <w:rsid w:val="00C837A0"/>
    <w:rsid w:val="00C84306"/>
    <w:rsid w:val="00C845F7"/>
    <w:rsid w:val="00C85B4E"/>
    <w:rsid w:val="00C907F7"/>
    <w:rsid w:val="00C92F7F"/>
    <w:rsid w:val="00CA2103"/>
    <w:rsid w:val="00CA4BB3"/>
    <w:rsid w:val="00CA7E5E"/>
    <w:rsid w:val="00CB0F63"/>
    <w:rsid w:val="00CB21E8"/>
    <w:rsid w:val="00CB49AE"/>
    <w:rsid w:val="00CB6B99"/>
    <w:rsid w:val="00CB7929"/>
    <w:rsid w:val="00CE13CB"/>
    <w:rsid w:val="00CE4C87"/>
    <w:rsid w:val="00CE544A"/>
    <w:rsid w:val="00D07814"/>
    <w:rsid w:val="00D11E1C"/>
    <w:rsid w:val="00D160B0"/>
    <w:rsid w:val="00D17F94"/>
    <w:rsid w:val="00D223FC"/>
    <w:rsid w:val="00D26D1E"/>
    <w:rsid w:val="00D33A29"/>
    <w:rsid w:val="00D474CF"/>
    <w:rsid w:val="00D54850"/>
    <w:rsid w:val="00D5547E"/>
    <w:rsid w:val="00D713CA"/>
    <w:rsid w:val="00D82DF1"/>
    <w:rsid w:val="00D860E2"/>
    <w:rsid w:val="00D869A1"/>
    <w:rsid w:val="00D94C84"/>
    <w:rsid w:val="00DA413F"/>
    <w:rsid w:val="00DA4584"/>
    <w:rsid w:val="00DA614B"/>
    <w:rsid w:val="00DB32FF"/>
    <w:rsid w:val="00DB4414"/>
    <w:rsid w:val="00DB7AD7"/>
    <w:rsid w:val="00DC3060"/>
    <w:rsid w:val="00DC5AE9"/>
    <w:rsid w:val="00DD41BE"/>
    <w:rsid w:val="00DE0FB2"/>
    <w:rsid w:val="00DF093E"/>
    <w:rsid w:val="00DF2A11"/>
    <w:rsid w:val="00E01F42"/>
    <w:rsid w:val="00E10A20"/>
    <w:rsid w:val="00E206D6"/>
    <w:rsid w:val="00E25CD9"/>
    <w:rsid w:val="00E315D7"/>
    <w:rsid w:val="00E3366E"/>
    <w:rsid w:val="00E4596A"/>
    <w:rsid w:val="00E52086"/>
    <w:rsid w:val="00E543A6"/>
    <w:rsid w:val="00E60479"/>
    <w:rsid w:val="00E61D73"/>
    <w:rsid w:val="00E646C4"/>
    <w:rsid w:val="00E73684"/>
    <w:rsid w:val="00E74229"/>
    <w:rsid w:val="00E75247"/>
    <w:rsid w:val="00E75CF2"/>
    <w:rsid w:val="00E818D6"/>
    <w:rsid w:val="00E84B31"/>
    <w:rsid w:val="00E87F7A"/>
    <w:rsid w:val="00E94B3E"/>
    <w:rsid w:val="00E96BD7"/>
    <w:rsid w:val="00EA0DB1"/>
    <w:rsid w:val="00EA0EE9"/>
    <w:rsid w:val="00EA6498"/>
    <w:rsid w:val="00EB30FF"/>
    <w:rsid w:val="00EB3D25"/>
    <w:rsid w:val="00EC42DB"/>
    <w:rsid w:val="00EC5175"/>
    <w:rsid w:val="00ED52CA"/>
    <w:rsid w:val="00ED5860"/>
    <w:rsid w:val="00ED7D2B"/>
    <w:rsid w:val="00EE35C9"/>
    <w:rsid w:val="00EE49BB"/>
    <w:rsid w:val="00EE7A6D"/>
    <w:rsid w:val="00F01FA8"/>
    <w:rsid w:val="00F027E3"/>
    <w:rsid w:val="00F02D3B"/>
    <w:rsid w:val="00F05ECA"/>
    <w:rsid w:val="00F15E1B"/>
    <w:rsid w:val="00F23CD7"/>
    <w:rsid w:val="00F24703"/>
    <w:rsid w:val="00F24C0C"/>
    <w:rsid w:val="00F2550E"/>
    <w:rsid w:val="00F26E21"/>
    <w:rsid w:val="00F35406"/>
    <w:rsid w:val="00F3566E"/>
    <w:rsid w:val="00F375FB"/>
    <w:rsid w:val="00F41AC1"/>
    <w:rsid w:val="00F4367A"/>
    <w:rsid w:val="00F445B1"/>
    <w:rsid w:val="00F45CD4"/>
    <w:rsid w:val="00F55F0A"/>
    <w:rsid w:val="00F5706C"/>
    <w:rsid w:val="00F66DCA"/>
    <w:rsid w:val="00F7333D"/>
    <w:rsid w:val="00F74F53"/>
    <w:rsid w:val="00F7606D"/>
    <w:rsid w:val="00F81670"/>
    <w:rsid w:val="00F82024"/>
    <w:rsid w:val="00F865A3"/>
    <w:rsid w:val="00F95BC9"/>
    <w:rsid w:val="00FA624C"/>
    <w:rsid w:val="00FB37BA"/>
    <w:rsid w:val="00FB3B71"/>
    <w:rsid w:val="00FD0FAC"/>
    <w:rsid w:val="00FD1DFA"/>
    <w:rsid w:val="00FD4966"/>
    <w:rsid w:val="00FE4CBF"/>
    <w:rsid w:val="00FE57DC"/>
    <w:rsid w:val="00FF095A"/>
    <w:rsid w:val="00FF266B"/>
    <w:rsid w:val="016C67C1"/>
    <w:rsid w:val="0BB4944B"/>
    <w:rsid w:val="13336001"/>
    <w:rsid w:val="1B10AB16"/>
    <w:rsid w:val="1CAC7B77"/>
    <w:rsid w:val="2302949E"/>
    <w:rsid w:val="37441C1D"/>
    <w:rsid w:val="40C6B473"/>
    <w:rsid w:val="4181D0FA"/>
    <w:rsid w:val="4192C3EC"/>
    <w:rsid w:val="4987860A"/>
    <w:rsid w:val="6C111038"/>
    <w:rsid w:val="7959C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390539"/>
  <w15:docId w15:val="{5B2BA3E5-8E0C-4EC8-9220-F637E856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2B6836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F26E21"/>
    <w:pPr>
      <w:spacing w:before="12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link w:val="Foot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ooterChar">
    <w:name w:val="Footer Char"/>
    <w:aliases w:val="zzFooter Char"/>
    <w:link w:val="Footer"/>
    <w:uiPriority w:val="99"/>
    <w:rsid w:val="004B11AE"/>
    <w:rPr>
      <w:color w:val="000000"/>
      <w:sz w:val="18"/>
      <w:szCs w:val="24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2B6836"/>
    <w:rPr>
      <w:b/>
      <w:color w:val="000000"/>
      <w:sz w:val="24"/>
      <w:szCs w:val="24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table" w:styleId="TableColumns1">
    <w:name w:val="Table Columns 1"/>
    <w:basedOn w:val="TableNormal"/>
    <w:rsid w:val="00507ECC"/>
    <w:pPr>
      <w:spacing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07ECC"/>
    <w:pPr>
      <w:spacing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07ECC"/>
    <w:pPr>
      <w:spacing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1">
    <w:name w:val="Light List Accent 1"/>
    <w:basedOn w:val="TableNormal"/>
    <w:uiPriority w:val="61"/>
    <w:rsid w:val="00507EC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6fe251-9aff-4671-b9ed-44127f22832c">
      <UserInfo>
        <DisplayName>BISHOP Helen</DisplayName>
        <AccountId>9</AccountId>
        <AccountType/>
      </UserInfo>
      <UserInfo>
        <DisplayName>LEWISMAN Hagan</DisplayName>
        <AccountId>15</AccountId>
        <AccountType/>
      </UserInfo>
      <UserInfo>
        <DisplayName>HOOK Tom</DisplayName>
        <AccountId>16</AccountId>
        <AccountType/>
      </UserInfo>
      <UserInfo>
        <DisplayName>MATTHEW Peter</DisplayName>
        <AccountId>17</AccountId>
        <AccountType/>
      </UserInfo>
      <UserInfo>
        <DisplayName>REDWAY Paula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49DB20CD3594C8BA94DED65F6A458" ma:contentTypeVersion="6" ma:contentTypeDescription="Create a new document." ma:contentTypeScope="" ma:versionID="33aa817d3331f41019e08517c4f7a488">
  <xsd:schema xmlns:xsd="http://www.w3.org/2001/XMLSchema" xmlns:xs="http://www.w3.org/2001/XMLSchema" xmlns:p="http://schemas.microsoft.com/office/2006/metadata/properties" xmlns:ns2="366fe251-9aff-4671-b9ed-44127f22832c" xmlns:ns3="f3c805ea-84ad-4cb1-a512-26404e97fc9a" targetNamespace="http://schemas.microsoft.com/office/2006/metadata/properties" ma:root="true" ma:fieldsID="1fa30b711710336a0cef0a0a8f07c0a0" ns2:_="" ns3:_="">
    <xsd:import namespace="366fe251-9aff-4671-b9ed-44127f22832c"/>
    <xsd:import namespace="f3c805ea-84ad-4cb1-a512-26404e97fc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fe251-9aff-4671-b9ed-44127f2283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805ea-84ad-4cb1-a512-26404e97f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17C4-9508-4854-AF87-074B9DFE8D91}">
  <ds:schemaRefs>
    <ds:schemaRef ds:uri="http://schemas.microsoft.com/office/2006/metadata/properties"/>
    <ds:schemaRef ds:uri="http://schemas.microsoft.com/office/infopath/2007/PartnerControls"/>
    <ds:schemaRef ds:uri="366fe251-9aff-4671-b9ed-44127f22832c"/>
  </ds:schemaRefs>
</ds:datastoreItem>
</file>

<file path=customXml/itemProps2.xml><?xml version="1.0" encoding="utf-8"?>
<ds:datastoreItem xmlns:ds="http://schemas.openxmlformats.org/officeDocument/2006/customXml" ds:itemID="{74EEAE23-2CAC-4C95-91EC-EDDFFDC38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fe251-9aff-4671-b9ed-44127f22832c"/>
    <ds:schemaRef ds:uri="f3c805ea-84ad-4cb1-a512-26404e97f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CEBDF-3A1E-4D76-BCF4-6DD491479C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2CF859-65BA-4B6A-AEAE-DE348CE4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1379</Words>
  <Characters>7695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OxCityCouncil Cabinet report</vt:lpstr>
    </vt:vector>
  </TitlesOfParts>
  <Company>Oxford City Council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OxCityCouncil Cabinet report</dc:title>
  <dc:creator>jmitchell</dc:creator>
  <cp:keywords>OxCityCouncil Report</cp:keywords>
  <cp:lastModifiedBy>BROWN Lucy</cp:lastModifiedBy>
  <cp:revision>2</cp:revision>
  <cp:lastPrinted>2015-07-03T13:50:00Z</cp:lastPrinted>
  <dcterms:created xsi:type="dcterms:W3CDTF">2024-03-26T16:09:00Z</dcterms:created>
  <dcterms:modified xsi:type="dcterms:W3CDTF">2024-03-26T16:09:00Z</dcterms:modified>
  <cp:category>Report to Council or Committee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0x010100D2049DB20CD3594C8BA94DED65F6A458</vt:lpwstr>
  </property>
</Properties>
</file>